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3D5D" w14:textId="77777777" w:rsidR="002247BF" w:rsidRPr="002839D7" w:rsidRDefault="002247BF" w:rsidP="002247BF">
      <w:pPr>
        <w:pStyle w:val="Heading1"/>
        <w:rPr>
          <w:rFonts w:cs="Segoe UI"/>
        </w:rPr>
      </w:pPr>
      <w:bookmarkStart w:id="0" w:name="_Toc428527015"/>
      <w:bookmarkStart w:id="1" w:name="_Toc178061595"/>
      <w:r w:rsidRPr="002839D7">
        <w:rPr>
          <w:rFonts w:cs="Segoe UI"/>
        </w:rPr>
        <w:t>Note x: Pension plans</w:t>
      </w:r>
      <w:bookmarkEnd w:id="0"/>
      <w:bookmarkEnd w:id="1"/>
      <w:r w:rsidRPr="002839D7">
        <w:rPr>
          <w:rFonts w:cs="Segoe UI"/>
        </w:rPr>
        <w:t xml:space="preserve"> </w:t>
      </w:r>
    </w:p>
    <w:p w14:paraId="090FF4F3" w14:textId="77777777" w:rsidR="002247BF" w:rsidRPr="00AB127B"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16"/>
        </w:rPr>
      </w:pPr>
    </w:p>
    <w:p w14:paraId="4434D1CA" w14:textId="77777777" w:rsidR="002247BF" w:rsidRPr="00241BC1" w:rsidRDefault="002247BF" w:rsidP="002247BF">
      <w:pPr>
        <w:pStyle w:val="Heading2"/>
      </w:pPr>
      <w:bookmarkStart w:id="2" w:name="_Hlk55376809"/>
      <w:r w:rsidRPr="00241BC1">
        <w:t>General Information</w:t>
      </w:r>
    </w:p>
    <w:p w14:paraId="3960FF1C" w14:textId="77777777" w:rsidR="002247BF" w:rsidRPr="00241BC1"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927AF02" w14:textId="77777777" w:rsidR="002247BF" w:rsidRPr="001D0F35" w:rsidRDefault="002247BF" w:rsidP="002247BF">
      <w:pPr>
        <w:rPr>
          <w:rFonts w:cs="Segoe UI"/>
          <w:szCs w:val="22"/>
        </w:rPr>
      </w:pPr>
      <w:r w:rsidRPr="001D0F35">
        <w:rPr>
          <w:rFonts w:cs="Segoe UI"/>
          <w:szCs w:val="22"/>
        </w:rPr>
        <w:t xml:space="preserve">The Washington State Department of Retirement Systems (DRS), a department within the primary government of the state of Washington, prepares a stand-alone </w:t>
      </w:r>
      <w:r>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at fair value. </w:t>
      </w:r>
    </w:p>
    <w:p w14:paraId="6271D7C3" w14:textId="77777777" w:rsidR="002247BF" w:rsidRPr="001D0F35" w:rsidRDefault="002247BF" w:rsidP="002247BF">
      <w:pPr>
        <w:rPr>
          <w:rFonts w:cs="Segoe UI"/>
          <w:szCs w:val="22"/>
        </w:rPr>
      </w:pPr>
    </w:p>
    <w:p w14:paraId="446F2D3B" w14:textId="77777777" w:rsidR="002247BF" w:rsidRDefault="002247BF" w:rsidP="002247BF">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7826FEA8" w14:textId="77777777" w:rsidR="002247BF" w:rsidRDefault="002247BF" w:rsidP="002247BF">
      <w:pPr>
        <w:rPr>
          <w:rFonts w:cs="Segoe UI"/>
          <w:szCs w:val="22"/>
        </w:rPr>
      </w:pPr>
    </w:p>
    <w:p w14:paraId="0B046527" w14:textId="77777777" w:rsidR="002247BF" w:rsidRDefault="002247BF" w:rsidP="002247BF">
      <w:pPr>
        <w:rPr>
          <w:rFonts w:ascii="Arial" w:hAnsi="Arial" w:cs="Arial"/>
          <w:b/>
          <w:sz w:val="24"/>
          <w:szCs w:val="22"/>
        </w:rPr>
      </w:pPr>
      <w:r>
        <w:rPr>
          <w:rFonts w:cs="Arial"/>
          <w:b/>
          <w:sz w:val="24"/>
          <w:szCs w:val="22"/>
        </w:rPr>
        <w:t xml:space="preserve">The Collective Net Pension Liability (Asset) </w:t>
      </w:r>
    </w:p>
    <w:p w14:paraId="42A92EDB" w14:textId="77777777" w:rsidR="002247BF" w:rsidRDefault="002247BF" w:rsidP="002247BF">
      <w:pPr>
        <w:rPr>
          <w:rFonts w:cs="Arial"/>
          <w:b/>
          <w:szCs w:val="22"/>
        </w:rPr>
      </w:pPr>
    </w:p>
    <w:p w14:paraId="6F776F68" w14:textId="77777777" w:rsidR="002247BF" w:rsidRDefault="002247BF" w:rsidP="002247BF">
      <w:pPr>
        <w:rPr>
          <w:rFonts w:cs="Arial"/>
          <w:szCs w:val="22"/>
        </w:rPr>
      </w:pPr>
      <w:r>
        <w:rPr>
          <w:rFonts w:cs="Arial"/>
          <w:szCs w:val="22"/>
        </w:rPr>
        <w:t>The collective net pension liability or asset for the pension plans districts participated in are reported in the following tables</w:t>
      </w:r>
    </w:p>
    <w:p w14:paraId="53F9DF8B" w14:textId="77777777" w:rsidR="002247BF" w:rsidRDefault="002247BF" w:rsidP="002247BF">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2247BF" w:rsidRPr="004E3A4F" w14:paraId="3F6D4861" w14:textId="77777777" w:rsidTr="0009357B">
        <w:trPr>
          <w:trHeight w:val="314"/>
          <w:tblHeader/>
        </w:trPr>
        <w:tc>
          <w:tcPr>
            <w:tcW w:w="9576" w:type="dxa"/>
            <w:gridSpan w:val="5"/>
            <w:shd w:val="clear" w:color="auto" w:fill="D9D9D9" w:themeFill="background1" w:themeFillShade="D9"/>
            <w:vAlign w:val="bottom"/>
          </w:tcPr>
          <w:p w14:paraId="3401AD97" w14:textId="77777777" w:rsidR="002247BF" w:rsidRPr="004E3A4F" w:rsidRDefault="002247BF" w:rsidP="0009357B">
            <w:pPr>
              <w:rPr>
                <w:rFonts w:cs="Segoe UI"/>
                <w:szCs w:val="22"/>
              </w:rPr>
            </w:pPr>
            <w:r w:rsidRPr="004E3A4F">
              <w:rPr>
                <w:rFonts w:cs="Segoe UI"/>
              </w:rPr>
              <w:t xml:space="preserve">The </w:t>
            </w:r>
            <w:r>
              <w:rPr>
                <w:rFonts w:cs="Segoe UI"/>
              </w:rPr>
              <w:t xml:space="preserve">Collective </w:t>
            </w:r>
            <w:r w:rsidRPr="004E3A4F">
              <w:rPr>
                <w:rFonts w:cs="Segoe UI"/>
              </w:rPr>
              <w:t xml:space="preserve">Net Pension Liability </w:t>
            </w:r>
            <w:r>
              <w:rPr>
                <w:rFonts w:cs="Segoe UI"/>
              </w:rPr>
              <w:t xml:space="preserve">or (Asset) </w:t>
            </w:r>
            <w:r w:rsidRPr="004E3A4F">
              <w:rPr>
                <w:rFonts w:cs="Segoe UI"/>
              </w:rPr>
              <w:t>as of June 30, 20</w:t>
            </w:r>
            <w:r>
              <w:rPr>
                <w:rFonts w:cs="Segoe UI"/>
              </w:rPr>
              <w:t>24</w:t>
            </w:r>
          </w:p>
        </w:tc>
      </w:tr>
      <w:tr w:rsidR="002247BF" w:rsidRPr="004E3A4F" w14:paraId="6BBD7D61" w14:textId="77777777" w:rsidTr="0009357B">
        <w:trPr>
          <w:tblHeader/>
        </w:trPr>
        <w:tc>
          <w:tcPr>
            <w:tcW w:w="1345" w:type="dxa"/>
          </w:tcPr>
          <w:p w14:paraId="5E7E98DD" w14:textId="77777777" w:rsidR="002247BF" w:rsidRPr="004E3A4F" w:rsidRDefault="002247BF" w:rsidP="0009357B">
            <w:pPr>
              <w:rPr>
                <w:rFonts w:cs="Segoe UI"/>
              </w:rPr>
            </w:pPr>
          </w:p>
        </w:tc>
        <w:tc>
          <w:tcPr>
            <w:tcW w:w="2057" w:type="dxa"/>
            <w:vAlign w:val="center"/>
          </w:tcPr>
          <w:p w14:paraId="39BB3824" w14:textId="77777777" w:rsidR="002247BF" w:rsidRPr="004E3A4F" w:rsidRDefault="002247BF" w:rsidP="0009357B">
            <w:pPr>
              <w:jc w:val="center"/>
              <w:rPr>
                <w:rFonts w:cs="Segoe UI"/>
              </w:rPr>
            </w:pPr>
            <w:r w:rsidRPr="004E3A4F">
              <w:rPr>
                <w:rFonts w:cs="Segoe UI"/>
              </w:rPr>
              <w:t>Total Pension Liability</w:t>
            </w:r>
          </w:p>
        </w:tc>
        <w:tc>
          <w:tcPr>
            <w:tcW w:w="2058" w:type="dxa"/>
            <w:vAlign w:val="center"/>
          </w:tcPr>
          <w:p w14:paraId="5E659F75" w14:textId="77777777" w:rsidR="002247BF" w:rsidRPr="004E3A4F" w:rsidRDefault="002247BF" w:rsidP="0009357B">
            <w:pPr>
              <w:jc w:val="center"/>
              <w:rPr>
                <w:rFonts w:cs="Segoe UI"/>
              </w:rPr>
            </w:pPr>
            <w:r w:rsidRPr="004E3A4F">
              <w:rPr>
                <w:rFonts w:cs="Segoe UI"/>
              </w:rPr>
              <w:t>Plan fiduciary net position</w:t>
            </w:r>
          </w:p>
        </w:tc>
        <w:tc>
          <w:tcPr>
            <w:tcW w:w="2058" w:type="dxa"/>
            <w:vAlign w:val="center"/>
          </w:tcPr>
          <w:p w14:paraId="7BA3384C" w14:textId="77777777" w:rsidR="002247BF" w:rsidRPr="004E3A4F" w:rsidRDefault="002247BF" w:rsidP="0009357B">
            <w:pPr>
              <w:jc w:val="center"/>
              <w:rPr>
                <w:rFonts w:cs="Segoe UI"/>
              </w:rPr>
            </w:pPr>
            <w:r w:rsidRPr="004E3A4F">
              <w:rPr>
                <w:rFonts w:cs="Segoe UI"/>
              </w:rPr>
              <w:t>Participating employers’ net pension liability</w:t>
            </w:r>
            <w:r>
              <w:rPr>
                <w:rFonts w:cs="Segoe UI"/>
              </w:rPr>
              <w:t xml:space="preserve"> or (Asset)</w:t>
            </w:r>
          </w:p>
        </w:tc>
        <w:tc>
          <w:tcPr>
            <w:tcW w:w="2058" w:type="dxa"/>
            <w:vAlign w:val="center"/>
          </w:tcPr>
          <w:p w14:paraId="3FB3B1EC" w14:textId="77777777" w:rsidR="002247BF" w:rsidRPr="004E3A4F" w:rsidRDefault="002247BF" w:rsidP="0009357B">
            <w:pPr>
              <w:jc w:val="center"/>
              <w:rPr>
                <w:rFonts w:cs="Segoe UI"/>
              </w:rPr>
            </w:pPr>
            <w:r w:rsidRPr="004E3A4F">
              <w:rPr>
                <w:rFonts w:cs="Segoe UI"/>
              </w:rPr>
              <w:t>Plan fiduciary net position as a percentage of the total pension liability</w:t>
            </w:r>
          </w:p>
        </w:tc>
      </w:tr>
      <w:tr w:rsidR="00620E6B" w:rsidRPr="004E3A4F" w14:paraId="16E7EA62" w14:textId="77777777" w:rsidTr="00C92006">
        <w:trPr>
          <w:tblHeader/>
        </w:trPr>
        <w:tc>
          <w:tcPr>
            <w:tcW w:w="1345" w:type="dxa"/>
            <w:vAlign w:val="center"/>
          </w:tcPr>
          <w:p w14:paraId="5F7FD97D" w14:textId="77777777" w:rsidR="00620E6B" w:rsidRPr="004E3A4F" w:rsidRDefault="00620E6B" w:rsidP="00620E6B">
            <w:pPr>
              <w:rPr>
                <w:rFonts w:cs="Segoe UI"/>
              </w:rPr>
            </w:pPr>
            <w:r w:rsidRPr="004E3A4F">
              <w:rPr>
                <w:rFonts w:cs="Segoe UI"/>
              </w:rPr>
              <w:t>PERS 1</w:t>
            </w:r>
          </w:p>
        </w:tc>
        <w:tc>
          <w:tcPr>
            <w:tcW w:w="2057" w:type="dxa"/>
            <w:vAlign w:val="bottom"/>
          </w:tcPr>
          <w:p w14:paraId="46C775F0" w14:textId="074E8273" w:rsidR="00620E6B" w:rsidRPr="004E3A4F" w:rsidRDefault="00620E6B" w:rsidP="00620E6B">
            <w:pPr>
              <w:jc w:val="right"/>
              <w:rPr>
                <w:rFonts w:cs="Segoe UI"/>
              </w:rPr>
            </w:pPr>
            <w:r w:rsidRPr="000000EB">
              <w:rPr>
                <w:rFonts w:cs="Segoe UI"/>
                <w:color w:val="000000"/>
                <w:szCs w:val="22"/>
              </w:rPr>
              <w:t xml:space="preserve">     11,141,258,000 </w:t>
            </w:r>
          </w:p>
        </w:tc>
        <w:tc>
          <w:tcPr>
            <w:tcW w:w="2058" w:type="dxa"/>
            <w:vAlign w:val="bottom"/>
          </w:tcPr>
          <w:p w14:paraId="6D0456BF" w14:textId="69EF1CF6" w:rsidR="00620E6B" w:rsidRPr="004E3A4F" w:rsidRDefault="00620E6B" w:rsidP="00620E6B">
            <w:pPr>
              <w:jc w:val="right"/>
              <w:rPr>
                <w:rFonts w:cs="Segoe UI"/>
              </w:rPr>
            </w:pPr>
            <w:r w:rsidRPr="000000EB">
              <w:rPr>
                <w:rFonts w:cs="Segoe UI"/>
                <w:color w:val="000000"/>
                <w:szCs w:val="22"/>
              </w:rPr>
              <w:t xml:space="preserve">      9,364,420,000 </w:t>
            </w:r>
          </w:p>
        </w:tc>
        <w:tc>
          <w:tcPr>
            <w:tcW w:w="2058" w:type="dxa"/>
            <w:vAlign w:val="bottom"/>
          </w:tcPr>
          <w:p w14:paraId="5A80C011" w14:textId="1537097F" w:rsidR="00620E6B" w:rsidRPr="004E3A4F" w:rsidRDefault="00620E6B" w:rsidP="00620E6B">
            <w:pPr>
              <w:jc w:val="right"/>
              <w:rPr>
                <w:rFonts w:cs="Segoe UI"/>
              </w:rPr>
            </w:pPr>
            <w:r w:rsidRPr="000000EB">
              <w:rPr>
                <w:rFonts w:cs="Segoe UI"/>
                <w:color w:val="000000"/>
                <w:szCs w:val="22"/>
              </w:rPr>
              <w:t xml:space="preserve">        1,776,838,000 </w:t>
            </w:r>
          </w:p>
        </w:tc>
        <w:tc>
          <w:tcPr>
            <w:tcW w:w="2058" w:type="dxa"/>
            <w:vAlign w:val="bottom"/>
          </w:tcPr>
          <w:p w14:paraId="18552E8F" w14:textId="7B7417D6" w:rsidR="00620E6B" w:rsidRPr="004E3A4F" w:rsidRDefault="00620E6B" w:rsidP="00620E6B">
            <w:pPr>
              <w:jc w:val="right"/>
              <w:rPr>
                <w:rFonts w:cs="Segoe UI"/>
              </w:rPr>
            </w:pPr>
            <w:r w:rsidRPr="000000EB">
              <w:rPr>
                <w:rFonts w:cs="Segoe UI"/>
                <w:color w:val="000000"/>
                <w:szCs w:val="22"/>
              </w:rPr>
              <w:t>84.05%</w:t>
            </w:r>
          </w:p>
        </w:tc>
      </w:tr>
      <w:tr w:rsidR="00620E6B" w:rsidRPr="004E3A4F" w14:paraId="32A288F8" w14:textId="77777777" w:rsidTr="00C92006">
        <w:trPr>
          <w:tblHeader/>
        </w:trPr>
        <w:tc>
          <w:tcPr>
            <w:tcW w:w="1345" w:type="dxa"/>
          </w:tcPr>
          <w:p w14:paraId="5A17818C" w14:textId="77777777" w:rsidR="00620E6B" w:rsidRPr="004E3A4F" w:rsidRDefault="00620E6B" w:rsidP="00620E6B">
            <w:pPr>
              <w:rPr>
                <w:rFonts w:cs="Segoe UI"/>
              </w:rPr>
            </w:pPr>
            <w:r w:rsidRPr="004E3A4F">
              <w:rPr>
                <w:rFonts w:cs="Segoe UI"/>
              </w:rPr>
              <w:t>SERS 2/3</w:t>
            </w:r>
          </w:p>
        </w:tc>
        <w:tc>
          <w:tcPr>
            <w:tcW w:w="2057" w:type="dxa"/>
            <w:vAlign w:val="bottom"/>
          </w:tcPr>
          <w:p w14:paraId="52D1D0CB" w14:textId="2FC3709E" w:rsidR="00620E6B" w:rsidRPr="004E3A4F" w:rsidRDefault="00620E6B" w:rsidP="00620E6B">
            <w:pPr>
              <w:jc w:val="right"/>
              <w:rPr>
                <w:rFonts w:cs="Segoe UI"/>
              </w:rPr>
            </w:pPr>
            <w:r w:rsidRPr="000000EB">
              <w:rPr>
                <w:rFonts w:cs="Segoe UI"/>
                <w:color w:val="000000"/>
                <w:szCs w:val="22"/>
              </w:rPr>
              <w:t xml:space="preserve">     10,201,439,000 </w:t>
            </w:r>
          </w:p>
        </w:tc>
        <w:tc>
          <w:tcPr>
            <w:tcW w:w="2058" w:type="dxa"/>
            <w:vAlign w:val="bottom"/>
          </w:tcPr>
          <w:p w14:paraId="5643DC07" w14:textId="77C42B3F" w:rsidR="00620E6B" w:rsidRPr="004E3A4F" w:rsidRDefault="00620E6B" w:rsidP="00620E6B">
            <w:pPr>
              <w:jc w:val="right"/>
              <w:rPr>
                <w:rFonts w:cs="Segoe UI"/>
              </w:rPr>
            </w:pPr>
            <w:r w:rsidRPr="000000EB">
              <w:rPr>
                <w:rFonts w:cs="Segoe UI"/>
                <w:color w:val="000000"/>
                <w:szCs w:val="22"/>
              </w:rPr>
              <w:t xml:space="preserve">    10,235,276,000 </w:t>
            </w:r>
          </w:p>
        </w:tc>
        <w:tc>
          <w:tcPr>
            <w:tcW w:w="2058" w:type="dxa"/>
            <w:vAlign w:val="bottom"/>
          </w:tcPr>
          <w:p w14:paraId="045CE20C" w14:textId="3BBC0586" w:rsidR="00620E6B" w:rsidRPr="004E3A4F" w:rsidRDefault="00620E6B" w:rsidP="00620E6B">
            <w:pPr>
              <w:jc w:val="right"/>
              <w:rPr>
                <w:rFonts w:cs="Segoe UI"/>
              </w:rPr>
            </w:pPr>
            <w:r w:rsidRPr="000000EB">
              <w:rPr>
                <w:rFonts w:cs="Segoe UI"/>
                <w:color w:val="000000"/>
                <w:szCs w:val="22"/>
              </w:rPr>
              <w:t xml:space="preserve">           (33,837,000)</w:t>
            </w:r>
          </w:p>
        </w:tc>
        <w:tc>
          <w:tcPr>
            <w:tcW w:w="2058" w:type="dxa"/>
            <w:vAlign w:val="bottom"/>
          </w:tcPr>
          <w:p w14:paraId="7A58903E" w14:textId="372CC66A" w:rsidR="00620E6B" w:rsidRPr="004E3A4F" w:rsidRDefault="00620E6B" w:rsidP="00620E6B">
            <w:pPr>
              <w:jc w:val="right"/>
              <w:rPr>
                <w:rFonts w:cs="Segoe UI"/>
              </w:rPr>
            </w:pPr>
            <w:r w:rsidRPr="000000EB">
              <w:rPr>
                <w:rFonts w:cs="Segoe UI"/>
                <w:color w:val="000000"/>
                <w:szCs w:val="22"/>
              </w:rPr>
              <w:t>100.33%</w:t>
            </w:r>
          </w:p>
        </w:tc>
      </w:tr>
      <w:tr w:rsidR="00620E6B" w:rsidRPr="004E3A4F" w14:paraId="74A3E5B0" w14:textId="77777777" w:rsidTr="00C92006">
        <w:trPr>
          <w:tblHeader/>
        </w:trPr>
        <w:tc>
          <w:tcPr>
            <w:tcW w:w="1345" w:type="dxa"/>
          </w:tcPr>
          <w:p w14:paraId="206D620B" w14:textId="77777777" w:rsidR="00620E6B" w:rsidRPr="004E3A4F" w:rsidRDefault="00620E6B" w:rsidP="00620E6B">
            <w:pPr>
              <w:rPr>
                <w:rFonts w:cs="Segoe UI"/>
              </w:rPr>
            </w:pPr>
            <w:r w:rsidRPr="004E3A4F">
              <w:rPr>
                <w:rFonts w:cs="Segoe UI"/>
              </w:rPr>
              <w:t>TRS 1</w:t>
            </w:r>
          </w:p>
        </w:tc>
        <w:tc>
          <w:tcPr>
            <w:tcW w:w="2057" w:type="dxa"/>
            <w:vAlign w:val="bottom"/>
          </w:tcPr>
          <w:p w14:paraId="1F571292" w14:textId="4BC49717" w:rsidR="00620E6B" w:rsidRPr="004E3A4F" w:rsidRDefault="00620E6B" w:rsidP="00620E6B">
            <w:pPr>
              <w:jc w:val="right"/>
              <w:rPr>
                <w:rFonts w:cs="Segoe UI"/>
              </w:rPr>
            </w:pPr>
            <w:r w:rsidRPr="000000EB">
              <w:rPr>
                <w:rFonts w:cs="Segoe UI"/>
                <w:color w:val="000000"/>
                <w:szCs w:val="22"/>
              </w:rPr>
              <w:t xml:space="preserve">       8,237,102,000 </w:t>
            </w:r>
          </w:p>
        </w:tc>
        <w:tc>
          <w:tcPr>
            <w:tcW w:w="2058" w:type="dxa"/>
            <w:vAlign w:val="bottom"/>
          </w:tcPr>
          <w:p w14:paraId="6A7024F5" w14:textId="4FE52B3D" w:rsidR="00620E6B" w:rsidRPr="004E3A4F" w:rsidRDefault="00620E6B" w:rsidP="00620E6B">
            <w:pPr>
              <w:jc w:val="right"/>
              <w:rPr>
                <w:rFonts w:cs="Segoe UI"/>
              </w:rPr>
            </w:pPr>
            <w:r w:rsidRPr="000000EB">
              <w:rPr>
                <w:rFonts w:cs="Segoe UI"/>
                <w:color w:val="000000"/>
                <w:szCs w:val="22"/>
              </w:rPr>
              <w:t xml:space="preserve">      7,127,805,000 </w:t>
            </w:r>
          </w:p>
        </w:tc>
        <w:tc>
          <w:tcPr>
            <w:tcW w:w="2058" w:type="dxa"/>
            <w:vAlign w:val="bottom"/>
          </w:tcPr>
          <w:p w14:paraId="6B46B480" w14:textId="25B8B3DB" w:rsidR="00620E6B" w:rsidRPr="004E3A4F" w:rsidRDefault="00620E6B" w:rsidP="00620E6B">
            <w:pPr>
              <w:jc w:val="right"/>
              <w:rPr>
                <w:rFonts w:cs="Segoe UI"/>
              </w:rPr>
            </w:pPr>
            <w:r w:rsidRPr="000000EB">
              <w:rPr>
                <w:rFonts w:cs="Segoe UI"/>
                <w:color w:val="000000"/>
                <w:szCs w:val="22"/>
              </w:rPr>
              <w:t xml:space="preserve">        1,109,297,000 </w:t>
            </w:r>
          </w:p>
        </w:tc>
        <w:tc>
          <w:tcPr>
            <w:tcW w:w="2058" w:type="dxa"/>
            <w:vAlign w:val="bottom"/>
          </w:tcPr>
          <w:p w14:paraId="1287891D" w14:textId="39D8933A" w:rsidR="00620E6B" w:rsidRPr="004E3A4F" w:rsidRDefault="00620E6B" w:rsidP="00620E6B">
            <w:pPr>
              <w:jc w:val="right"/>
              <w:rPr>
                <w:rFonts w:cs="Segoe UI"/>
              </w:rPr>
            </w:pPr>
            <w:r w:rsidRPr="000000EB">
              <w:rPr>
                <w:rFonts w:cs="Segoe UI"/>
                <w:color w:val="000000"/>
                <w:szCs w:val="22"/>
              </w:rPr>
              <w:t>86.53%</w:t>
            </w:r>
          </w:p>
        </w:tc>
      </w:tr>
      <w:tr w:rsidR="00620E6B" w:rsidRPr="004E3A4F" w14:paraId="63D4BAE8" w14:textId="77777777" w:rsidTr="00C92006">
        <w:trPr>
          <w:tblHeader/>
        </w:trPr>
        <w:tc>
          <w:tcPr>
            <w:tcW w:w="1345" w:type="dxa"/>
          </w:tcPr>
          <w:p w14:paraId="4EAF8E11" w14:textId="77777777" w:rsidR="00620E6B" w:rsidRPr="004E3A4F" w:rsidRDefault="00620E6B" w:rsidP="00620E6B">
            <w:pPr>
              <w:rPr>
                <w:rFonts w:cs="Segoe UI"/>
              </w:rPr>
            </w:pPr>
            <w:r w:rsidRPr="004E3A4F">
              <w:rPr>
                <w:rFonts w:cs="Segoe UI"/>
              </w:rPr>
              <w:t>TRS 2/3</w:t>
            </w:r>
          </w:p>
        </w:tc>
        <w:tc>
          <w:tcPr>
            <w:tcW w:w="2057" w:type="dxa"/>
            <w:vAlign w:val="bottom"/>
          </w:tcPr>
          <w:p w14:paraId="3FEA0934" w14:textId="4494FA87" w:rsidR="00620E6B" w:rsidRPr="004E3A4F" w:rsidRDefault="00620E6B" w:rsidP="00620E6B">
            <w:pPr>
              <w:jc w:val="right"/>
              <w:rPr>
                <w:rFonts w:cs="Segoe UI"/>
              </w:rPr>
            </w:pPr>
            <w:r w:rsidRPr="000000EB">
              <w:rPr>
                <w:rFonts w:cs="Segoe UI"/>
                <w:color w:val="000000"/>
                <w:szCs w:val="22"/>
              </w:rPr>
              <w:t xml:space="preserve">     27,509,649,000 </w:t>
            </w:r>
          </w:p>
        </w:tc>
        <w:tc>
          <w:tcPr>
            <w:tcW w:w="2058" w:type="dxa"/>
            <w:vAlign w:val="bottom"/>
          </w:tcPr>
          <w:p w14:paraId="106FE05E" w14:textId="225BDA72" w:rsidR="00620E6B" w:rsidRPr="004E3A4F" w:rsidRDefault="00620E6B" w:rsidP="00620E6B">
            <w:pPr>
              <w:jc w:val="right"/>
              <w:rPr>
                <w:rFonts w:cs="Segoe UI"/>
              </w:rPr>
            </w:pPr>
            <w:r w:rsidRPr="000000EB">
              <w:rPr>
                <w:rFonts w:cs="Segoe UI"/>
                <w:color w:val="000000"/>
                <w:szCs w:val="22"/>
              </w:rPr>
              <w:t xml:space="preserve">    27,309,259,000 </w:t>
            </w:r>
          </w:p>
        </w:tc>
        <w:tc>
          <w:tcPr>
            <w:tcW w:w="2058" w:type="dxa"/>
            <w:vAlign w:val="bottom"/>
          </w:tcPr>
          <w:p w14:paraId="2EFF2CC6" w14:textId="38D8133E" w:rsidR="00620E6B" w:rsidRPr="004E3A4F" w:rsidRDefault="00620E6B" w:rsidP="00620E6B">
            <w:pPr>
              <w:jc w:val="right"/>
              <w:rPr>
                <w:rFonts w:cs="Segoe UI"/>
              </w:rPr>
            </w:pPr>
            <w:r w:rsidRPr="000000EB">
              <w:rPr>
                <w:rFonts w:cs="Segoe UI"/>
                <w:color w:val="000000"/>
                <w:szCs w:val="22"/>
              </w:rPr>
              <w:t xml:space="preserve">           200,390,000 </w:t>
            </w:r>
          </w:p>
        </w:tc>
        <w:tc>
          <w:tcPr>
            <w:tcW w:w="2058" w:type="dxa"/>
            <w:vAlign w:val="bottom"/>
          </w:tcPr>
          <w:p w14:paraId="0E656B5E" w14:textId="54670478" w:rsidR="00620E6B" w:rsidRPr="004E3A4F" w:rsidRDefault="00620E6B" w:rsidP="00620E6B">
            <w:pPr>
              <w:jc w:val="right"/>
              <w:rPr>
                <w:rFonts w:cs="Segoe UI"/>
              </w:rPr>
            </w:pPr>
            <w:r w:rsidRPr="000000EB">
              <w:rPr>
                <w:rFonts w:cs="Segoe UI"/>
                <w:color w:val="000000"/>
                <w:szCs w:val="22"/>
              </w:rPr>
              <w:t>99.27%</w:t>
            </w:r>
          </w:p>
        </w:tc>
      </w:tr>
    </w:tbl>
    <w:p w14:paraId="7313343D" w14:textId="77777777" w:rsidR="002247BF" w:rsidRDefault="002247BF" w:rsidP="002247BF">
      <w:pPr>
        <w:rPr>
          <w:rFonts w:cs="Arial"/>
          <w:szCs w:val="22"/>
        </w:rPr>
      </w:pPr>
    </w:p>
    <w:p w14:paraId="42C7FFD2" w14:textId="77777777" w:rsidR="002247BF" w:rsidRPr="001D0F35" w:rsidRDefault="002247BF" w:rsidP="002247BF">
      <w:pPr>
        <w:rPr>
          <w:rFonts w:cs="Segoe UI"/>
          <w:szCs w:val="22"/>
        </w:rPr>
      </w:pPr>
      <w:r w:rsidRPr="000C46CF">
        <w:rPr>
          <w:rFonts w:cs="Segoe UI"/>
          <w:szCs w:val="22"/>
        </w:rPr>
        <w:t xml:space="preserve">Detailed information about the pension plans’ fiduciary net position is available in the separately issued DRS </w:t>
      </w:r>
      <w:r>
        <w:rPr>
          <w:rFonts w:cs="Segoe UI"/>
          <w:szCs w:val="22"/>
        </w:rPr>
        <w:t>report</w:t>
      </w:r>
      <w:r w:rsidRPr="000C46CF">
        <w:rPr>
          <w:rFonts w:cs="Segoe UI"/>
          <w:szCs w:val="22"/>
        </w:rPr>
        <w:t>. Copies of the report may be obtained by contacting t</w:t>
      </w:r>
      <w:r w:rsidRPr="00441365">
        <w:rPr>
          <w:rFonts w:cs="Segoe UI"/>
          <w:szCs w:val="22"/>
        </w:rPr>
        <w:t>he Washington State Department of Retirement Systems, P.O. Box 48380, Olympia</w:t>
      </w:r>
      <w:r w:rsidRPr="00024342">
        <w:rPr>
          <w:rFonts w:cs="Segoe UI"/>
          <w:szCs w:val="22"/>
        </w:rPr>
        <w:t xml:space="preserve">, WA  98504-8380; or online at </w:t>
      </w:r>
      <w:hyperlink r:id="rId8" w:history="1">
        <w:r w:rsidRPr="009941E1">
          <w:rPr>
            <w:rStyle w:val="Hyperlink"/>
            <w:rFonts w:cs="Segoe UI"/>
            <w:szCs w:val="22"/>
          </w:rPr>
          <w:t>Annual Financial Reports</w:t>
        </w:r>
      </w:hyperlink>
      <w:r>
        <w:rPr>
          <w:rFonts w:cs="Segoe UI"/>
          <w:szCs w:val="22"/>
        </w:rPr>
        <w:t xml:space="preserve"> </w:t>
      </w:r>
      <w:r w:rsidRPr="00441365">
        <w:rPr>
          <w:rFonts w:cs="Segoe UI"/>
          <w:szCs w:val="22"/>
        </w:rPr>
        <w:t>or</w:t>
      </w:r>
      <w:r>
        <w:rPr>
          <w:rFonts w:cs="Segoe UI"/>
          <w:szCs w:val="22"/>
        </w:rPr>
        <w:t xml:space="preserve"> </w:t>
      </w:r>
      <w:hyperlink r:id="rId9" w:history="1">
        <w:r w:rsidRPr="001D0F35">
          <w:rPr>
            <w:rStyle w:val="Hyperlink"/>
            <w:rFonts w:cs="Segoe UI"/>
          </w:rPr>
          <w:t>http://www.drs.wa.gov./administrations/annual-report</w:t>
        </w:r>
      </w:hyperlink>
      <w:r w:rsidRPr="001D0F35">
        <w:rPr>
          <w:rFonts w:cs="Segoe UI"/>
          <w:szCs w:val="22"/>
        </w:rPr>
        <w:t>.</w:t>
      </w:r>
    </w:p>
    <w:p w14:paraId="0DADF847" w14:textId="77777777" w:rsidR="002247BF" w:rsidRPr="00241BC1"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61A7F3A" w14:textId="77777777" w:rsidR="002247BF" w:rsidRPr="00241BC1" w:rsidRDefault="002247BF" w:rsidP="002247BF">
      <w:pPr>
        <w:pStyle w:val="Heading2"/>
      </w:pPr>
      <w:r w:rsidRPr="00241BC1">
        <w:t xml:space="preserve">Membership Participation </w:t>
      </w:r>
    </w:p>
    <w:p w14:paraId="218FC032" w14:textId="77777777" w:rsidR="002247BF" w:rsidRPr="00241BC1"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22CCF5C3" w14:textId="77777777" w:rsidR="002247BF" w:rsidRPr="00241BC1"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w:t>
      </w:r>
      <w:r w:rsidRPr="00241BC1">
        <w:rPr>
          <w:rFonts w:cs="Arial"/>
          <w:szCs w:val="22"/>
        </w:rPr>
        <w:lastRenderedPageBreak/>
        <w:t xml:space="preserve">managed by DRS: Teachers’ Retirement System (TRS), Public Employees’ Retirement System (PERS) and School Employees’ Retirement System (SERS). </w:t>
      </w:r>
    </w:p>
    <w:p w14:paraId="2BFD0B23" w14:textId="77777777" w:rsidR="002247BF" w:rsidRPr="00241BC1"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25A11AA1" w14:textId="77777777" w:rsidR="002247BF" w:rsidRPr="004C112A" w:rsidRDefault="002247BF" w:rsidP="002247BF">
      <w:pPr>
        <w:pStyle w:val="Heading3"/>
        <w:ind w:left="0"/>
        <w:rPr>
          <w:iCs/>
        </w:rPr>
      </w:pPr>
      <w:r w:rsidRPr="004C112A">
        <w:rPr>
          <w:iCs/>
        </w:rPr>
        <w:t>Membership &amp; Plan Benefits</w:t>
      </w:r>
    </w:p>
    <w:p w14:paraId="30874EF5" w14:textId="77777777" w:rsidR="002247BF" w:rsidRPr="00241BC1"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51ECD6E2" w14:textId="77777777" w:rsidR="002247BF" w:rsidRPr="00436AF7" w:rsidRDefault="002247BF" w:rsidP="002247B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05FC79B1" w14:textId="77777777" w:rsidR="002247BF" w:rsidRPr="00436AF7"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41D529C2" w14:textId="77777777" w:rsidR="002247BF" w:rsidRPr="00A47BE4" w:rsidRDefault="002247BF" w:rsidP="002247BF">
      <w:pPr>
        <w:ind w:left="360"/>
        <w:rPr>
          <w:rFonts w:cs="Segoe UI"/>
          <w:szCs w:val="24"/>
          <w:u w:val="single"/>
        </w:rPr>
      </w:pPr>
      <w:r w:rsidRPr="00E26E36">
        <w:rPr>
          <w:rFonts w:cs="Segoe UI"/>
          <w:szCs w:val="24"/>
          <w:u w:val="single"/>
        </w:rPr>
        <w:t>TRS Plan Information</w:t>
      </w:r>
    </w:p>
    <w:p w14:paraId="29AFC2A2" w14:textId="77777777" w:rsidR="002247BF" w:rsidRPr="00436AF7" w:rsidRDefault="002247BF" w:rsidP="002247BF">
      <w:pPr>
        <w:ind w:left="360"/>
        <w:rPr>
          <w:rFonts w:cs="Segoe UI"/>
          <w:szCs w:val="24"/>
        </w:rPr>
      </w:pPr>
      <w:r>
        <w:rPr>
          <w:rFonts w:cs="Segoe UI"/>
          <w:szCs w:val="24"/>
        </w:rPr>
        <w:t xml:space="preserve">TRS was established in 1938, and its retirement provisions are contained in Chapters 41.32 and 41.34 RCW. </w:t>
      </w:r>
      <w:r w:rsidRPr="00436AF7">
        <w:rPr>
          <w:rFonts w:cs="Segoe UI"/>
          <w:szCs w:val="24"/>
        </w:rPr>
        <w:t>TRS eligibility for membership requires service as a certificated</w:t>
      </w:r>
      <w:r>
        <w:rPr>
          <w:rFonts w:cs="Segoe UI"/>
          <w:szCs w:val="24"/>
        </w:rPr>
        <w:t>,</w:t>
      </w:r>
      <w:r w:rsidRPr="00436AF7">
        <w:rPr>
          <w:rFonts w:cs="Segoe UI"/>
          <w:szCs w:val="24"/>
        </w:rPr>
        <w:t xml:space="preserve"> public-school employee working in an instructional, administrative, or supervisory capacity. TRS is a cost-sharing multi-employer retirement system comprised of three separate plans for membership purposes: Plans 1 and 2 are defined benefit plans and Plan 3 is a defined benefit plan with a defined contribution component. </w:t>
      </w:r>
    </w:p>
    <w:p w14:paraId="56CA7B72" w14:textId="77777777" w:rsidR="002247BF" w:rsidRPr="00436AF7" w:rsidRDefault="002247BF" w:rsidP="002247BF">
      <w:pPr>
        <w:ind w:left="360"/>
        <w:rPr>
          <w:rFonts w:cs="Segoe UI"/>
          <w:szCs w:val="24"/>
        </w:rPr>
      </w:pPr>
    </w:p>
    <w:p w14:paraId="30EE9FE7" w14:textId="77777777" w:rsidR="002247BF" w:rsidRPr="00436AF7" w:rsidRDefault="002247BF" w:rsidP="002247BF">
      <w:pPr>
        <w:ind w:left="360"/>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4D793271" w14:textId="77777777" w:rsidR="002247BF" w:rsidRPr="00436AF7" w:rsidRDefault="002247BF" w:rsidP="002247BF">
      <w:pPr>
        <w:ind w:left="360"/>
        <w:rPr>
          <w:rFonts w:cs="Segoe UI"/>
          <w:szCs w:val="24"/>
        </w:rPr>
      </w:pPr>
    </w:p>
    <w:p w14:paraId="3D90E481" w14:textId="77777777" w:rsidR="002247BF" w:rsidRDefault="002247BF" w:rsidP="002247BF">
      <w:pPr>
        <w:ind w:left="360"/>
        <w:rPr>
          <w:rFonts w:cs="Segoe UI"/>
          <w:szCs w:val="24"/>
        </w:rPr>
      </w:pPr>
      <w:r w:rsidRPr="00285FB0">
        <w:rPr>
          <w:rFonts w:cs="Segoe UI"/>
          <w:szCs w:val="24"/>
        </w:rPr>
        <w:t>TRS Plan 1 provides</w:t>
      </w:r>
      <w:r w:rsidRPr="00436AF7">
        <w:rPr>
          <w:rFonts w:cs="Segoe UI"/>
          <w:szCs w:val="24"/>
        </w:rPr>
        <w:t xml:space="preserve"> retirement, disability, and death benefits. </w:t>
      </w:r>
      <w:r>
        <w:rPr>
          <w:rFonts w:cs="Segoe UI"/>
          <w:szCs w:val="24"/>
        </w:rPr>
        <w:t>Retirement benefits are calculated using 2% of the member’s Average Final Compensation (AFC) times the member’s years of service – up to a maximum of 60%. AFC is the average of the member’s two consecutive highest-paid fiscal years.</w:t>
      </w:r>
    </w:p>
    <w:p w14:paraId="7A9AFF54" w14:textId="77777777" w:rsidR="002247BF" w:rsidRDefault="002247BF" w:rsidP="002247BF">
      <w:pPr>
        <w:ind w:left="360"/>
        <w:rPr>
          <w:rFonts w:cs="Segoe UI"/>
          <w:szCs w:val="24"/>
        </w:rPr>
      </w:pPr>
    </w:p>
    <w:p w14:paraId="27422AE2" w14:textId="77777777" w:rsidR="002247BF" w:rsidRPr="00436AF7" w:rsidRDefault="002247BF" w:rsidP="002247BF">
      <w:pPr>
        <w:ind w:left="360"/>
        <w:rPr>
          <w:rFonts w:cs="Segoe UI"/>
          <w:szCs w:val="24"/>
        </w:rPr>
      </w:pPr>
      <w:r w:rsidRPr="00436AF7">
        <w:rPr>
          <w:rFonts w:cs="Segoe UI"/>
          <w:szCs w:val="24"/>
        </w:rPr>
        <w:t>Members are eligible for retirement at any age after 30 years of service, at the age of 60 with five years of service, or at the age of 55 with 25 years of service. Other benefits include temporary and permanent disability payments, an optional cost-of-living adjustment (COLA)</w:t>
      </w:r>
      <w:r>
        <w:rPr>
          <w:rFonts w:cs="Segoe UI"/>
          <w:szCs w:val="24"/>
        </w:rPr>
        <w:t xml:space="preserve">. </w:t>
      </w:r>
    </w:p>
    <w:p w14:paraId="3073F333" w14:textId="77777777" w:rsidR="002247BF" w:rsidRPr="00436AF7" w:rsidRDefault="002247BF" w:rsidP="002247BF">
      <w:pPr>
        <w:ind w:left="360"/>
        <w:rPr>
          <w:rFonts w:cs="Segoe UI"/>
          <w:szCs w:val="24"/>
        </w:rPr>
      </w:pPr>
    </w:p>
    <w:p w14:paraId="6B45AFDC" w14:textId="77777777" w:rsidR="002247BF" w:rsidRDefault="002247BF" w:rsidP="002247BF">
      <w:pPr>
        <w:ind w:left="360"/>
        <w:rPr>
          <w:rFonts w:cs="Segoe UI"/>
          <w:szCs w:val="24"/>
        </w:rPr>
      </w:pPr>
      <w:r w:rsidRPr="00436AF7">
        <w:rPr>
          <w:rFonts w:cs="Segoe UI"/>
          <w:szCs w:val="24"/>
        </w:rPr>
        <w:t xml:space="preserve">TRS Plan 2/3 provides retirement, disability and death benefits. Retirement benefits </w:t>
      </w:r>
      <w:r>
        <w:rPr>
          <w:rFonts w:cs="Segoe UI"/>
          <w:szCs w:val="24"/>
        </w:rPr>
        <w:t>for Plan 2 are calculated using 2% of the member’s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6B787DEF" w14:textId="77777777" w:rsidR="002247BF" w:rsidRDefault="002247BF" w:rsidP="002247BF">
      <w:pPr>
        <w:ind w:left="360"/>
        <w:rPr>
          <w:rFonts w:cs="Segoe UI"/>
          <w:szCs w:val="24"/>
        </w:rPr>
      </w:pPr>
    </w:p>
    <w:p w14:paraId="08843323" w14:textId="77777777" w:rsidR="002247BF" w:rsidRDefault="002247BF" w:rsidP="002247BF">
      <w:pPr>
        <w:ind w:left="360"/>
        <w:rPr>
          <w:rFonts w:cs="Segoe UI"/>
          <w:szCs w:val="24"/>
        </w:rPr>
      </w:pPr>
      <w:r>
        <w:rPr>
          <w:rFonts w:cs="Segoe UI"/>
          <w:szCs w:val="24"/>
        </w:rPr>
        <w:lastRenderedPageBreak/>
        <w:t xml:space="preserve">Members are eligible for retirement with a full benefit at age 65 with at least five years of service credit. Retirement before age 65 is considered an early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52AA7C30" w14:textId="77777777" w:rsidR="002247BF" w:rsidRDefault="002247BF" w:rsidP="002247BF">
      <w:pPr>
        <w:ind w:left="360"/>
        <w:rPr>
          <w:rFonts w:cs="Segoe UI"/>
          <w:szCs w:val="24"/>
        </w:rPr>
      </w:pPr>
    </w:p>
    <w:p w14:paraId="716B194C" w14:textId="77777777" w:rsidR="002247BF" w:rsidRDefault="002247BF" w:rsidP="002247BF">
      <w:pPr>
        <w:ind w:left="360"/>
        <w:rPr>
          <w:rFonts w:cs="Segoe UI"/>
          <w:szCs w:val="24"/>
        </w:rPr>
      </w:pPr>
      <w:r>
        <w:rPr>
          <w:rFonts w:cs="Segoe UI"/>
          <w:szCs w:val="24"/>
        </w:rPr>
        <w:t>Other TRS Plan 2/3 benefits include a Cost-of-Living Adjustment (COLA) based on the Consumer Price Index, capped at 3% annually.</w:t>
      </w:r>
    </w:p>
    <w:p w14:paraId="34B66CF9" w14:textId="77777777" w:rsidR="002247BF" w:rsidRDefault="002247BF" w:rsidP="002247BF">
      <w:pPr>
        <w:ind w:left="360"/>
        <w:rPr>
          <w:rFonts w:cs="Segoe UI"/>
          <w:szCs w:val="24"/>
        </w:rPr>
      </w:pPr>
    </w:p>
    <w:p w14:paraId="557F69BE" w14:textId="77777777" w:rsidR="002247BF" w:rsidRDefault="002247BF" w:rsidP="002247BF">
      <w:pPr>
        <w:ind w:left="360"/>
        <w:rPr>
          <w:rFonts w:cs="Segoe UI"/>
          <w:szCs w:val="24"/>
        </w:rPr>
      </w:pPr>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14087D56" w14:textId="77777777" w:rsidR="002247BF" w:rsidRDefault="002247BF" w:rsidP="002247BF">
      <w:pPr>
        <w:ind w:left="360"/>
        <w:rPr>
          <w:rFonts w:cs="Segoe UI"/>
          <w:szCs w:val="24"/>
        </w:rPr>
      </w:pPr>
    </w:p>
    <w:p w14:paraId="24BD0185" w14:textId="77777777" w:rsidR="002247BF" w:rsidRDefault="002247BF" w:rsidP="002247BF">
      <w:pPr>
        <w:ind w:left="360"/>
        <w:rPr>
          <w:rFonts w:cs="Segoe UI"/>
          <w:szCs w:val="24"/>
        </w:rPr>
      </w:pPr>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p w14:paraId="01F0046A" w14:textId="77777777" w:rsidR="002247BF" w:rsidRDefault="002247BF" w:rsidP="002247BF">
      <w:pPr>
        <w:ind w:left="360"/>
        <w:rPr>
          <w:rFonts w:cs="Segoe UI"/>
          <w:b/>
          <w:szCs w:val="24"/>
        </w:rPr>
      </w:pPr>
    </w:p>
    <w:p w14:paraId="6FE619B7" w14:textId="77777777" w:rsidR="002247BF" w:rsidRPr="00A47BE4" w:rsidRDefault="002247BF" w:rsidP="002247BF">
      <w:pPr>
        <w:ind w:left="360"/>
        <w:rPr>
          <w:rFonts w:cs="Segoe UI"/>
          <w:szCs w:val="24"/>
          <w:u w:val="single"/>
        </w:rPr>
      </w:pPr>
      <w:r w:rsidRPr="00E26E36">
        <w:rPr>
          <w:rFonts w:cs="Segoe UI"/>
          <w:szCs w:val="24"/>
          <w:u w:val="single"/>
        </w:rPr>
        <w:t>PERS Plan Information</w:t>
      </w:r>
    </w:p>
    <w:p w14:paraId="69757F0F" w14:textId="77777777" w:rsidR="002247BF" w:rsidRDefault="002247BF" w:rsidP="002247BF">
      <w:pPr>
        <w:ind w:left="360"/>
        <w:rPr>
          <w:rFonts w:cs="Segoe UI"/>
          <w:szCs w:val="24"/>
        </w:rPr>
      </w:pPr>
      <w:r>
        <w:rPr>
          <w:rFonts w:cs="Segoe UI"/>
          <w:szCs w:val="24"/>
        </w:rPr>
        <w:t xml:space="preserve">PERS was established in 1947, and its retirement benefit provisions are contained in Chapters 41.34 and 41.40 RCW. PERS is a cost-sharing, multiple-employer retirement system. </w:t>
      </w:r>
      <w:r w:rsidRPr="00436AF7">
        <w:rPr>
          <w:rFonts w:cs="Segoe UI"/>
          <w:szCs w:val="24"/>
        </w:rPr>
        <w:t>PERS Plan 1 provides retirement, disability</w:t>
      </w:r>
      <w:r>
        <w:rPr>
          <w:rFonts w:cs="Segoe UI"/>
          <w:szCs w:val="24"/>
        </w:rPr>
        <w:t>,</w:t>
      </w:r>
      <w:r w:rsidRPr="00436AF7">
        <w:rPr>
          <w:rFonts w:cs="Segoe UI"/>
          <w:szCs w:val="24"/>
        </w:rPr>
        <w:t xml:space="preserve"> and death benefits. </w:t>
      </w:r>
      <w:r>
        <w:rPr>
          <w:rFonts w:cs="Segoe UI"/>
          <w:szCs w:val="24"/>
        </w:rPr>
        <w:t xml:space="preserve">Retirement benefits are determined as 2% times the member’s Average Final Compensation (AFC) times the member’s years of services. </w:t>
      </w:r>
      <w:r w:rsidRPr="00436AF7">
        <w:rPr>
          <w:rFonts w:cs="Segoe UI"/>
          <w:szCs w:val="24"/>
        </w:rPr>
        <w:t>AFC is the average of the member’s 24 highest consecutive service months. Members are eligible for retirement from active status at any age with at least 30 years of service, at age 55 with at least 25 years of service, or at age 60 with at least five years of service.</w:t>
      </w:r>
      <w:r>
        <w:rPr>
          <w:rFonts w:cs="Segoe UI"/>
          <w:szCs w:val="24"/>
        </w:rPr>
        <w:t xml:space="preserve"> </w:t>
      </w:r>
    </w:p>
    <w:p w14:paraId="5B9863D9" w14:textId="77777777" w:rsidR="002247BF" w:rsidRDefault="002247BF" w:rsidP="002247BF">
      <w:pPr>
        <w:ind w:left="360"/>
        <w:rPr>
          <w:rFonts w:cs="Segoe UI"/>
          <w:szCs w:val="24"/>
        </w:rPr>
      </w:pPr>
    </w:p>
    <w:p w14:paraId="003B7046" w14:textId="77777777" w:rsidR="002247BF" w:rsidRPr="00436AF7" w:rsidRDefault="002247BF" w:rsidP="002247BF">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p w14:paraId="034EEB40" w14:textId="77777777" w:rsidR="002247BF" w:rsidRDefault="002247BF" w:rsidP="002247BF">
      <w:pPr>
        <w:ind w:left="360"/>
        <w:rPr>
          <w:rFonts w:cs="Segoe UI"/>
          <w:szCs w:val="24"/>
        </w:rPr>
      </w:pPr>
    </w:p>
    <w:p w14:paraId="05A3A41D" w14:textId="77777777" w:rsidR="002247BF" w:rsidRPr="00A47BE4" w:rsidRDefault="002247BF" w:rsidP="002247BF">
      <w:pPr>
        <w:ind w:left="360"/>
        <w:rPr>
          <w:rFonts w:cs="Segoe UI"/>
          <w:szCs w:val="24"/>
          <w:u w:val="single"/>
        </w:rPr>
      </w:pPr>
      <w:r w:rsidRPr="00E26E36">
        <w:rPr>
          <w:rFonts w:cs="Segoe UI"/>
          <w:szCs w:val="24"/>
          <w:u w:val="single"/>
        </w:rPr>
        <w:t>SERS Plan Information</w:t>
      </w:r>
    </w:p>
    <w:p w14:paraId="71DB8E50" w14:textId="77777777" w:rsidR="002247BF" w:rsidRDefault="002247BF" w:rsidP="002247BF">
      <w:pPr>
        <w:ind w:left="360"/>
        <w:rPr>
          <w:rFonts w:cs="Segoe UI"/>
          <w:szCs w:val="24"/>
        </w:rPr>
      </w:pPr>
      <w:bookmarkStart w:id="3" w:name="_Hlk149294587"/>
      <w:r>
        <w:rPr>
          <w:rFonts w:cs="Segoe UI"/>
          <w:szCs w:val="24"/>
        </w:rPr>
        <w:t xml:space="preserve">SERS was established by the legislature in 1998, and the plan became effective in 2000. SERS retirement benefit provisions are established in Chapters 41.34 and 41.35 RCW. </w:t>
      </w:r>
      <w:r w:rsidRPr="00436AF7">
        <w:rPr>
          <w:rFonts w:cs="Segoe UI"/>
          <w:szCs w:val="24"/>
        </w:rPr>
        <w:t>SERS members include classified employees of school districts and educational service districts.</w:t>
      </w:r>
      <w:r>
        <w:rPr>
          <w:rFonts w:cs="Segoe UI"/>
          <w:szCs w:val="24"/>
        </w:rPr>
        <w:t xml:space="preserve"> </w:t>
      </w:r>
    </w:p>
    <w:p w14:paraId="0EEF904F" w14:textId="77777777" w:rsidR="002247BF" w:rsidRPr="00436AF7" w:rsidRDefault="002247BF" w:rsidP="002247BF">
      <w:pPr>
        <w:ind w:left="360"/>
        <w:rPr>
          <w:rFonts w:cs="Segoe UI"/>
          <w:szCs w:val="24"/>
        </w:rPr>
      </w:pPr>
      <w:r w:rsidRPr="00436AF7">
        <w:rPr>
          <w:rFonts w:cs="Segoe UI"/>
          <w:szCs w:val="24"/>
        </w:rPr>
        <w:t>SERS is a cost-sharing</w:t>
      </w:r>
      <w:r>
        <w:rPr>
          <w:rFonts w:cs="Segoe UI"/>
          <w:szCs w:val="24"/>
        </w:rPr>
        <w:t>,</w:t>
      </w:r>
      <w:r w:rsidRPr="00436AF7">
        <w:rPr>
          <w:rFonts w:cs="Segoe UI"/>
          <w:szCs w:val="24"/>
        </w:rPr>
        <w:t xml:space="preserve"> multiemployer retirement system comprised of two separate plans for membership purposes. SERS Plan 2 is a defined benefit plan and SERS Plan 3 is a defined benefit plan with a defined contribution component. </w:t>
      </w:r>
    </w:p>
    <w:bookmarkEnd w:id="3"/>
    <w:p w14:paraId="177FDE86" w14:textId="77777777" w:rsidR="002247BF" w:rsidRPr="00436AF7" w:rsidRDefault="002247BF" w:rsidP="002247BF">
      <w:pPr>
        <w:ind w:left="360"/>
        <w:rPr>
          <w:rFonts w:cs="Segoe UI"/>
          <w:szCs w:val="24"/>
        </w:rPr>
      </w:pPr>
    </w:p>
    <w:p w14:paraId="1F887A85" w14:textId="77777777" w:rsidR="002247BF" w:rsidRPr="00436AF7" w:rsidRDefault="002247BF" w:rsidP="002247BF">
      <w:pPr>
        <w:ind w:left="360"/>
        <w:rPr>
          <w:rFonts w:cs="Segoe UI"/>
          <w:szCs w:val="24"/>
        </w:rPr>
      </w:pPr>
      <w:r w:rsidRPr="00436AF7">
        <w:rPr>
          <w:rFonts w:cs="Segoe UI"/>
          <w:szCs w:val="24"/>
        </w:rPr>
        <w:t>Although members can only be a member of either Plan 2 or Plan 3, the defined benefit portions of Plan 2 and Plan 3 are accounted for in the same pension trust</w:t>
      </w:r>
      <w:r>
        <w:rPr>
          <w:rFonts w:cs="Segoe UI"/>
          <w:szCs w:val="24"/>
        </w:rPr>
        <w:t xml:space="preserve"> </w:t>
      </w:r>
      <w:r w:rsidRPr="00436AF7">
        <w:rPr>
          <w:rFonts w:cs="Segoe UI"/>
          <w:szCs w:val="24"/>
        </w:rPr>
        <w:t>fund.</w:t>
      </w:r>
      <w:r>
        <w:rPr>
          <w:rFonts w:cs="Segoe UI"/>
          <w:szCs w:val="24"/>
        </w:rPr>
        <w:t xml:space="preserve"> </w:t>
      </w:r>
      <w:r w:rsidRPr="00436AF7">
        <w:rPr>
          <w:rFonts w:cs="Segoe UI"/>
          <w:szCs w:val="24"/>
        </w:rPr>
        <w:t xml:space="preserve">All assets of this Plan 2/3 defined benefit plan may legally be used to pay the defined benefits of any of </w:t>
      </w:r>
      <w:r w:rsidRPr="00436AF7">
        <w:rPr>
          <w:rFonts w:cs="Segoe UI"/>
          <w:szCs w:val="24"/>
        </w:rPr>
        <w:lastRenderedPageBreak/>
        <w:t>the Plan 2 or Plan 3 members or beneficiaries. Therefore, Plan 2/3 is a single plan for accounting purposes.</w:t>
      </w:r>
    </w:p>
    <w:p w14:paraId="51D110DD" w14:textId="77777777" w:rsidR="002247BF" w:rsidRDefault="002247BF" w:rsidP="002247BF">
      <w:pPr>
        <w:ind w:left="360"/>
        <w:rPr>
          <w:rFonts w:cs="Segoe UI"/>
          <w:szCs w:val="24"/>
        </w:rPr>
      </w:pPr>
    </w:p>
    <w:p w14:paraId="5C80D23D" w14:textId="77777777" w:rsidR="002247BF" w:rsidRDefault="002247BF" w:rsidP="002247BF">
      <w:pPr>
        <w:ind w:left="360"/>
        <w:rPr>
          <w:rFonts w:cs="Segoe UI"/>
          <w:szCs w:val="24"/>
        </w:rPr>
      </w:pPr>
      <w:r w:rsidRPr="00436AF7">
        <w:rPr>
          <w:rFonts w:cs="Segoe UI"/>
          <w:szCs w:val="24"/>
        </w:rPr>
        <w:t>SERS provides retirement, disability</w:t>
      </w:r>
      <w:r>
        <w:rPr>
          <w:rFonts w:cs="Segoe UI"/>
          <w:szCs w:val="24"/>
        </w:rPr>
        <w:t>,</w:t>
      </w:r>
      <w:r w:rsidRPr="00436AF7">
        <w:rPr>
          <w:rFonts w:cs="Segoe UI"/>
          <w:szCs w:val="24"/>
        </w:rPr>
        <w:t xml:space="preserve"> and death benefits. </w:t>
      </w:r>
      <w:r>
        <w:rPr>
          <w:rFonts w:cs="Segoe UI"/>
          <w:szCs w:val="24"/>
        </w:rPr>
        <w:t>Retirement benefits for Plan 2 are calculated as 2% times the member’s Average Final Compensation (AFC) times the member’s years of service. Defined benefits for Plan 3 are calculated using 1% times the member’s AFC times the member’s years of service. AFC is the monthly average of the member’s 60 consecutive highest-paid service credit months.</w:t>
      </w:r>
    </w:p>
    <w:p w14:paraId="550E53D6" w14:textId="77777777" w:rsidR="002247BF" w:rsidRDefault="002247BF" w:rsidP="002247BF">
      <w:pPr>
        <w:ind w:left="360"/>
        <w:rPr>
          <w:rFonts w:cs="Segoe UI"/>
          <w:szCs w:val="24"/>
        </w:rPr>
      </w:pPr>
    </w:p>
    <w:p w14:paraId="21B3253E" w14:textId="77777777" w:rsidR="002247BF" w:rsidRDefault="002247BF" w:rsidP="002247BF">
      <w:pPr>
        <w:ind w:left="360"/>
        <w:rPr>
          <w:rFonts w:cs="Segoe UI"/>
          <w:szCs w:val="24"/>
        </w:rPr>
      </w:pPr>
      <w:r>
        <w:rPr>
          <w:rFonts w:cs="Segoe UI"/>
          <w:szCs w:val="24"/>
        </w:rPr>
        <w:t xml:space="preserve">Members are eligible for retirement with a full benefit at age 65 with at least five years of service credit. Retirement before age 65 is considered an early retirement. SERS members who have at least 20 years of service credit and are 55 years of age or older are eligible for early retirement with a reduced benefit.  The benefit is reduced by a factor that varies according to age for each year before age 65. </w:t>
      </w:r>
    </w:p>
    <w:p w14:paraId="70A86F99" w14:textId="77777777" w:rsidR="002247BF" w:rsidRDefault="002247BF" w:rsidP="002247BF">
      <w:pPr>
        <w:ind w:left="360"/>
        <w:rPr>
          <w:rFonts w:cs="Segoe UI"/>
          <w:szCs w:val="24"/>
        </w:rPr>
      </w:pPr>
    </w:p>
    <w:p w14:paraId="08CE23A4" w14:textId="77777777" w:rsidR="002247BF" w:rsidRDefault="002247BF" w:rsidP="002247BF">
      <w:pPr>
        <w:ind w:left="360"/>
        <w:rPr>
          <w:rFonts w:cs="Segoe UI"/>
          <w:szCs w:val="24"/>
        </w:rPr>
      </w:pPr>
      <w:r>
        <w:rPr>
          <w:rFonts w:cs="Segoe UI"/>
          <w:szCs w:val="24"/>
        </w:rPr>
        <w:t>SERS Plan 2/3 retirement benefits are actuarially reduced if a survivor benefit is chosen.</w:t>
      </w:r>
    </w:p>
    <w:p w14:paraId="673A0326" w14:textId="77777777" w:rsidR="002247BF" w:rsidRDefault="002247BF" w:rsidP="002247BF">
      <w:pPr>
        <w:ind w:left="360"/>
        <w:rPr>
          <w:rFonts w:cs="Segoe UI"/>
          <w:szCs w:val="24"/>
        </w:rPr>
      </w:pPr>
    </w:p>
    <w:p w14:paraId="3797A7F7" w14:textId="77777777" w:rsidR="002247BF" w:rsidRDefault="002247BF" w:rsidP="002247BF">
      <w:pPr>
        <w:ind w:left="360"/>
        <w:rPr>
          <w:rFonts w:cs="Segoe UI"/>
          <w:szCs w:val="24"/>
        </w:rPr>
      </w:pPr>
      <w:r>
        <w:rPr>
          <w:rFonts w:cs="Segoe UI"/>
          <w:szCs w:val="24"/>
        </w:rPr>
        <w:t xml:space="preserve">Other SERS Plan 2/3 benefits include a Cost-of-Living Adjustment (COLA) based on the Consumer Price Index, capped at 3% annually. </w:t>
      </w:r>
    </w:p>
    <w:p w14:paraId="50137C6E" w14:textId="77777777" w:rsidR="002247BF" w:rsidRDefault="002247BF" w:rsidP="002247BF">
      <w:pPr>
        <w:ind w:left="360"/>
        <w:rPr>
          <w:rFonts w:cs="Segoe UI"/>
          <w:szCs w:val="24"/>
        </w:rPr>
      </w:pPr>
    </w:p>
    <w:p w14:paraId="16996FAA" w14:textId="77777777" w:rsidR="002247BF" w:rsidRDefault="002247BF" w:rsidP="002247BF">
      <w:pPr>
        <w:ind w:left="360"/>
        <w:rPr>
          <w:rFonts w:cs="Segoe UI"/>
          <w:szCs w:val="24"/>
        </w:rPr>
      </w:pPr>
      <w:r>
        <w:rPr>
          <w:rFonts w:cs="Segoe UI"/>
          <w:szCs w:val="24"/>
        </w:rPr>
        <w:t>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a 3% annually.</w:t>
      </w:r>
    </w:p>
    <w:p w14:paraId="175D8F39" w14:textId="77777777" w:rsidR="002247BF" w:rsidRDefault="002247BF" w:rsidP="002247BF">
      <w:pPr>
        <w:autoSpaceDE w:val="0"/>
        <w:autoSpaceDN w:val="0"/>
        <w:adjustRightInd w:val="0"/>
        <w:rPr>
          <w:rFonts w:cs="Segoe UI"/>
          <w:color w:val="000000"/>
          <w:sz w:val="20"/>
        </w:rPr>
      </w:pPr>
    </w:p>
    <w:p w14:paraId="7B4C359A" w14:textId="77777777" w:rsidR="002247BF" w:rsidRPr="001D0F35" w:rsidRDefault="002247BF" w:rsidP="002247BF">
      <w:pPr>
        <w:autoSpaceDE w:val="0"/>
        <w:autoSpaceDN w:val="0"/>
        <w:adjustRightInd w:val="0"/>
        <w:rPr>
          <w:rFonts w:cs="Segoe UI"/>
          <w:color w:val="000000"/>
          <w:sz w:val="20"/>
        </w:rPr>
      </w:pPr>
    </w:p>
    <w:p w14:paraId="35B1421E" w14:textId="77777777" w:rsidR="002247BF" w:rsidRPr="00241BC1" w:rsidRDefault="002247BF" w:rsidP="002247BF">
      <w:pPr>
        <w:pStyle w:val="Heading2"/>
      </w:pPr>
      <w:r w:rsidRPr="00241BC1">
        <w:t>Plan Contributions</w:t>
      </w:r>
    </w:p>
    <w:p w14:paraId="6C424566" w14:textId="77777777" w:rsidR="002247BF" w:rsidRPr="00241BC1"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456D455A" w14:textId="77777777" w:rsidR="002247BF" w:rsidRPr="00241BC1" w:rsidRDefault="002247BF" w:rsidP="002247BF">
      <w:r w:rsidRPr="00241BC1">
        <w:t xml:space="preserve">The employer contribution rates for PERS, TRS, and SERS (Plans 1, 2, and 3) and the TRS and SERS Plan 2 employee contribution rates are established by the Pension Funding Council based upon the rates set by the Legislature. </w:t>
      </w:r>
      <w:r w:rsidRPr="006A1FC4">
        <w:t>The methods used to determine the contribution requirements are established under state statue in accordance with Chapters 41.40 and 41.45 RCW for PERS, Chapters 41.35 and 41.45 RCW for SERS, and Chapters 41.32 and 41.45 RCW for TRS. Employers do not contribute to the defined contribution portions of TRS Plan 3 or SERS Plan 3. Under current law the employer must contribute</w:t>
      </w:r>
      <w:r w:rsidRPr="00241BC1">
        <w:t xml:space="preserve"> 100 percent of the employer-required contribution. The employee contribution rate for Plan 1 in PERS and TRS is set by statute at six percent and does not vary from year to year. </w:t>
      </w:r>
    </w:p>
    <w:p w14:paraId="0C0A6BBC" w14:textId="77777777" w:rsidR="002247BF" w:rsidRPr="00241BC1" w:rsidRDefault="002247BF" w:rsidP="002247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06D3BD34" w14:textId="77777777" w:rsidR="002247BF"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The employer and employee contribution rates for </w:t>
      </w:r>
      <w:r>
        <w:rPr>
          <w:rFonts w:cs="Segoe UI"/>
          <w:szCs w:val="24"/>
        </w:rPr>
        <w:t xml:space="preserve">all plans were effective as of September 1, 2023. PERS contribution rates changed on July 1, 2024. </w:t>
      </w:r>
      <w:r w:rsidRPr="00436AF7">
        <w:rPr>
          <w:rFonts w:cs="Segoe UI"/>
          <w:szCs w:val="24"/>
        </w:rPr>
        <w:t xml:space="preserve">The pension plan contribution rates (expressed as a percentage of covered payroll) for </w:t>
      </w:r>
      <w:r>
        <w:rPr>
          <w:rFonts w:cs="Segoe UI"/>
          <w:szCs w:val="24"/>
        </w:rPr>
        <w:t xml:space="preserve">fiscal year </w:t>
      </w:r>
      <w:r w:rsidRPr="00436AF7">
        <w:rPr>
          <w:rFonts w:cs="Segoe UI"/>
          <w:szCs w:val="24"/>
        </w:rPr>
        <w:t>20</w:t>
      </w:r>
      <w:r>
        <w:rPr>
          <w:rFonts w:cs="Segoe UI"/>
          <w:szCs w:val="24"/>
        </w:rPr>
        <w:t xml:space="preserve">24 are </w:t>
      </w:r>
      <w:r w:rsidRPr="00436AF7">
        <w:rPr>
          <w:rFonts w:cs="Segoe UI"/>
          <w:szCs w:val="24"/>
        </w:rPr>
        <w:t xml:space="preserve">listed below: </w:t>
      </w:r>
    </w:p>
    <w:p w14:paraId="040E2652" w14:textId="77777777" w:rsidR="002247BF"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0" w:type="auto"/>
        <w:tblLook w:val="04A0" w:firstRow="1" w:lastRow="0" w:firstColumn="1" w:lastColumn="0" w:noHBand="0" w:noVBand="1"/>
      </w:tblPr>
      <w:tblGrid>
        <w:gridCol w:w="1569"/>
        <w:gridCol w:w="1983"/>
        <w:gridCol w:w="2220"/>
        <w:gridCol w:w="1539"/>
        <w:gridCol w:w="1603"/>
        <w:gridCol w:w="436"/>
      </w:tblGrid>
      <w:tr w:rsidR="002247BF" w14:paraId="2F63F532" w14:textId="77777777" w:rsidTr="0009357B">
        <w:trPr>
          <w:tblHeader/>
        </w:trPr>
        <w:tc>
          <w:tcPr>
            <w:tcW w:w="1569" w:type="dxa"/>
            <w:vAlign w:val="center"/>
          </w:tcPr>
          <w:p w14:paraId="2DE0D4A2"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c>
          <w:tcPr>
            <w:tcW w:w="1983" w:type="dxa"/>
            <w:vAlign w:val="center"/>
          </w:tcPr>
          <w:p w14:paraId="254A1136"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From this date</w:t>
            </w:r>
          </w:p>
        </w:tc>
        <w:tc>
          <w:tcPr>
            <w:tcW w:w="2220" w:type="dxa"/>
            <w:vAlign w:val="center"/>
          </w:tcPr>
          <w:p w14:paraId="25830D99"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Through this date</w:t>
            </w:r>
          </w:p>
        </w:tc>
        <w:tc>
          <w:tcPr>
            <w:tcW w:w="1539" w:type="dxa"/>
            <w:vAlign w:val="center"/>
          </w:tcPr>
          <w:p w14:paraId="2FAD7D46"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Member rate</w:t>
            </w:r>
          </w:p>
        </w:tc>
        <w:tc>
          <w:tcPr>
            <w:tcW w:w="1603" w:type="dxa"/>
            <w:vAlign w:val="center"/>
          </w:tcPr>
          <w:p w14:paraId="2DABC657"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Employer rate</w:t>
            </w:r>
          </w:p>
        </w:tc>
        <w:tc>
          <w:tcPr>
            <w:tcW w:w="436" w:type="dxa"/>
            <w:vAlign w:val="center"/>
          </w:tcPr>
          <w:p w14:paraId="31E4BE44"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2247BF" w14:paraId="2169C0C0" w14:textId="77777777" w:rsidTr="0009357B">
        <w:trPr>
          <w:trHeight w:val="432"/>
        </w:trPr>
        <w:tc>
          <w:tcPr>
            <w:tcW w:w="1569" w:type="dxa"/>
            <w:vAlign w:val="center"/>
          </w:tcPr>
          <w:p w14:paraId="28C24560"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PERS 1</w:t>
            </w:r>
          </w:p>
        </w:tc>
        <w:tc>
          <w:tcPr>
            <w:tcW w:w="1983" w:type="dxa"/>
            <w:vAlign w:val="center"/>
          </w:tcPr>
          <w:p w14:paraId="3FEC2EEB"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7/1/202</w:t>
            </w:r>
            <w:r>
              <w:rPr>
                <w:rFonts w:cs="Segoe UI"/>
                <w:color w:val="000000"/>
                <w:szCs w:val="22"/>
              </w:rPr>
              <w:t>3</w:t>
            </w:r>
          </w:p>
        </w:tc>
        <w:tc>
          <w:tcPr>
            <w:tcW w:w="2220" w:type="dxa"/>
            <w:vAlign w:val="center"/>
          </w:tcPr>
          <w:p w14:paraId="62D0CC4E"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6/30/2024</w:t>
            </w:r>
          </w:p>
        </w:tc>
        <w:tc>
          <w:tcPr>
            <w:tcW w:w="1539" w:type="dxa"/>
            <w:vAlign w:val="center"/>
          </w:tcPr>
          <w:p w14:paraId="7F3AAB7E"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08D1F4D7"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9.53</w:t>
            </w:r>
            <w:r w:rsidRPr="00805709">
              <w:rPr>
                <w:rFonts w:cs="Segoe UI"/>
                <w:color w:val="000000"/>
                <w:szCs w:val="22"/>
              </w:rPr>
              <w:t>%</w:t>
            </w:r>
          </w:p>
        </w:tc>
        <w:tc>
          <w:tcPr>
            <w:tcW w:w="436" w:type="dxa"/>
            <w:vAlign w:val="center"/>
          </w:tcPr>
          <w:p w14:paraId="79AA9D84"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2247BF" w14:paraId="12026E45" w14:textId="77777777" w:rsidTr="0009357B">
        <w:trPr>
          <w:trHeight w:val="432"/>
        </w:trPr>
        <w:tc>
          <w:tcPr>
            <w:tcW w:w="1569" w:type="dxa"/>
            <w:vAlign w:val="center"/>
          </w:tcPr>
          <w:p w14:paraId="71143986" w14:textId="77777777" w:rsidR="002247BF" w:rsidRPr="009806F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PERS 1</w:t>
            </w:r>
          </w:p>
        </w:tc>
        <w:tc>
          <w:tcPr>
            <w:tcW w:w="1983" w:type="dxa"/>
            <w:vAlign w:val="center"/>
          </w:tcPr>
          <w:p w14:paraId="2FEFB73A" w14:textId="77777777" w:rsidR="002247BF" w:rsidRPr="009806F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Pr>
                <w:rFonts w:cs="Segoe UI"/>
                <w:color w:val="000000"/>
                <w:szCs w:val="22"/>
              </w:rPr>
              <w:t>4</w:t>
            </w:r>
          </w:p>
        </w:tc>
        <w:tc>
          <w:tcPr>
            <w:tcW w:w="2220" w:type="dxa"/>
            <w:vAlign w:val="center"/>
          </w:tcPr>
          <w:p w14:paraId="1A54F521" w14:textId="77777777" w:rsidR="002247BF" w:rsidRPr="009806F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539" w:type="dxa"/>
            <w:vAlign w:val="center"/>
          </w:tcPr>
          <w:p w14:paraId="484CAA49" w14:textId="77777777" w:rsidR="002247BF" w:rsidRPr="009806F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603" w:type="dxa"/>
            <w:vAlign w:val="center"/>
          </w:tcPr>
          <w:p w14:paraId="402D8E4F" w14:textId="77777777" w:rsidR="002247BF" w:rsidRPr="009806F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9.03</w:t>
            </w:r>
            <w:r w:rsidRPr="00805709">
              <w:rPr>
                <w:rFonts w:cs="Segoe UI"/>
                <w:color w:val="000000"/>
                <w:szCs w:val="22"/>
              </w:rPr>
              <w:t>%</w:t>
            </w:r>
          </w:p>
        </w:tc>
        <w:tc>
          <w:tcPr>
            <w:tcW w:w="436" w:type="dxa"/>
            <w:vAlign w:val="center"/>
          </w:tcPr>
          <w:p w14:paraId="2EB933BC" w14:textId="77777777" w:rsidR="002247BF" w:rsidRPr="009806F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2247BF" w14:paraId="717D7034" w14:textId="77777777" w:rsidTr="0009357B">
        <w:trPr>
          <w:trHeight w:val="432"/>
        </w:trPr>
        <w:tc>
          <w:tcPr>
            <w:tcW w:w="1569" w:type="dxa"/>
            <w:vAlign w:val="center"/>
          </w:tcPr>
          <w:p w14:paraId="024CFEAC"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2</w:t>
            </w:r>
          </w:p>
        </w:tc>
        <w:tc>
          <w:tcPr>
            <w:tcW w:w="1983" w:type="dxa"/>
            <w:vAlign w:val="center"/>
          </w:tcPr>
          <w:p w14:paraId="5ED2C966"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3</w:t>
            </w:r>
          </w:p>
        </w:tc>
        <w:tc>
          <w:tcPr>
            <w:tcW w:w="2220" w:type="dxa"/>
            <w:vAlign w:val="center"/>
          </w:tcPr>
          <w:p w14:paraId="578541BF"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539" w:type="dxa"/>
            <w:vAlign w:val="center"/>
          </w:tcPr>
          <w:p w14:paraId="2E381840"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603" w:type="dxa"/>
            <w:vAlign w:val="center"/>
          </w:tcPr>
          <w:p w14:paraId="39071D40"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436" w:type="dxa"/>
            <w:vAlign w:val="center"/>
          </w:tcPr>
          <w:p w14:paraId="60F9FD76"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2247BF" w14:paraId="72BE731E" w14:textId="77777777" w:rsidTr="0009357B">
        <w:trPr>
          <w:trHeight w:val="432"/>
        </w:trPr>
        <w:tc>
          <w:tcPr>
            <w:tcW w:w="1569" w:type="dxa"/>
            <w:vAlign w:val="center"/>
          </w:tcPr>
          <w:p w14:paraId="74468102"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3</w:t>
            </w:r>
          </w:p>
        </w:tc>
        <w:tc>
          <w:tcPr>
            <w:tcW w:w="1983" w:type="dxa"/>
            <w:vAlign w:val="center"/>
          </w:tcPr>
          <w:p w14:paraId="4FD02F53"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3</w:t>
            </w:r>
          </w:p>
        </w:tc>
        <w:tc>
          <w:tcPr>
            <w:tcW w:w="2220" w:type="dxa"/>
            <w:vAlign w:val="center"/>
          </w:tcPr>
          <w:p w14:paraId="00B457E7"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539" w:type="dxa"/>
            <w:vAlign w:val="center"/>
          </w:tcPr>
          <w:p w14:paraId="219CD6BE"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603" w:type="dxa"/>
            <w:vAlign w:val="center"/>
          </w:tcPr>
          <w:p w14:paraId="18E6F5BE" w14:textId="77777777" w:rsidR="002247BF" w:rsidRPr="00805709"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436" w:type="dxa"/>
            <w:vAlign w:val="center"/>
          </w:tcPr>
          <w:p w14:paraId="6F6E3A46"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2247BF" w14:paraId="73643B7B" w14:textId="77777777" w:rsidTr="0009357B">
        <w:trPr>
          <w:trHeight w:val="432"/>
        </w:trPr>
        <w:tc>
          <w:tcPr>
            <w:tcW w:w="1569" w:type="dxa"/>
            <w:vAlign w:val="center"/>
          </w:tcPr>
          <w:p w14:paraId="0F534CD9"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1</w:t>
            </w:r>
          </w:p>
        </w:tc>
        <w:tc>
          <w:tcPr>
            <w:tcW w:w="1983" w:type="dxa"/>
            <w:vAlign w:val="center"/>
          </w:tcPr>
          <w:p w14:paraId="09B7D98E"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6D21E351"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481A863F"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3C9D076A"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6F322FE4"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2247BF" w14:paraId="57B3C7D0" w14:textId="77777777" w:rsidTr="0009357B">
        <w:trPr>
          <w:trHeight w:val="432"/>
        </w:trPr>
        <w:tc>
          <w:tcPr>
            <w:tcW w:w="1569" w:type="dxa"/>
            <w:vAlign w:val="center"/>
          </w:tcPr>
          <w:p w14:paraId="674ACF0C"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2</w:t>
            </w:r>
          </w:p>
        </w:tc>
        <w:tc>
          <w:tcPr>
            <w:tcW w:w="1983" w:type="dxa"/>
            <w:vAlign w:val="center"/>
          </w:tcPr>
          <w:p w14:paraId="3BF5F8D2"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6657549F"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3F564AC7"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8.05%</w:t>
            </w:r>
          </w:p>
        </w:tc>
        <w:tc>
          <w:tcPr>
            <w:tcW w:w="1603" w:type="dxa"/>
            <w:vAlign w:val="center"/>
          </w:tcPr>
          <w:p w14:paraId="6C7F8729"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73712C0C"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2247BF" w14:paraId="6B0C1024" w14:textId="77777777" w:rsidTr="0009357B">
        <w:trPr>
          <w:trHeight w:val="432"/>
        </w:trPr>
        <w:tc>
          <w:tcPr>
            <w:tcW w:w="1569" w:type="dxa"/>
            <w:vAlign w:val="center"/>
          </w:tcPr>
          <w:p w14:paraId="27054F5B"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3</w:t>
            </w:r>
          </w:p>
        </w:tc>
        <w:tc>
          <w:tcPr>
            <w:tcW w:w="1983" w:type="dxa"/>
            <w:vAlign w:val="center"/>
          </w:tcPr>
          <w:p w14:paraId="11C212E7"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5D5BEE46"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2AD0E2C6"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w:t>
            </w:r>
          </w:p>
        </w:tc>
        <w:tc>
          <w:tcPr>
            <w:tcW w:w="1603" w:type="dxa"/>
            <w:vAlign w:val="center"/>
          </w:tcPr>
          <w:p w14:paraId="2A989CA0"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3BBD5FAC"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2247BF" w14:paraId="0BF3AC2F" w14:textId="77777777" w:rsidTr="0009357B">
        <w:trPr>
          <w:trHeight w:val="512"/>
        </w:trPr>
        <w:tc>
          <w:tcPr>
            <w:tcW w:w="9350" w:type="dxa"/>
            <w:gridSpan w:val="6"/>
            <w:vAlign w:val="center"/>
          </w:tcPr>
          <w:p w14:paraId="48D419EE"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i/>
                <w:iCs/>
                <w:szCs w:val="22"/>
              </w:rPr>
              <w:t>Note: The Employer rates include .00</w:t>
            </w:r>
            <w:r>
              <w:rPr>
                <w:rFonts w:cs="Segoe UI"/>
                <w:bCs/>
                <w:i/>
                <w:iCs/>
                <w:szCs w:val="22"/>
              </w:rPr>
              <w:t>20</w:t>
            </w:r>
            <w:r w:rsidRPr="009806F9">
              <w:rPr>
                <w:rFonts w:cs="Segoe UI"/>
                <w:bCs/>
                <w:i/>
                <w:iCs/>
                <w:szCs w:val="22"/>
              </w:rPr>
              <w:t xml:space="preserve"> DRS administrative expense. </w:t>
            </w:r>
          </w:p>
        </w:tc>
      </w:tr>
      <w:tr w:rsidR="002247BF" w14:paraId="7F08FFC6" w14:textId="77777777" w:rsidTr="0009357B">
        <w:trPr>
          <w:trHeight w:val="692"/>
        </w:trPr>
        <w:tc>
          <w:tcPr>
            <w:tcW w:w="9350" w:type="dxa"/>
            <w:gridSpan w:val="6"/>
            <w:vAlign w:val="center"/>
          </w:tcPr>
          <w:p w14:paraId="1E21500F"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3 Employee Contribution Variable from 5% to 15% based on rate selected by the employee member.</w:t>
            </w:r>
          </w:p>
        </w:tc>
      </w:tr>
      <w:tr w:rsidR="002247BF" w14:paraId="7356728C" w14:textId="77777777" w:rsidTr="0009357B">
        <w:trPr>
          <w:trHeight w:val="440"/>
        </w:trPr>
        <w:tc>
          <w:tcPr>
            <w:tcW w:w="9350" w:type="dxa"/>
            <w:gridSpan w:val="6"/>
            <w:vAlign w:val="center"/>
          </w:tcPr>
          <w:p w14:paraId="17495534" w14:textId="77777777" w:rsidR="002247BF" w:rsidRDefault="002247BF" w:rsidP="000935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2/3 Employer Contributions for defined benefit portion only.</w:t>
            </w:r>
          </w:p>
        </w:tc>
      </w:tr>
    </w:tbl>
    <w:p w14:paraId="567549B6" w14:textId="77777777" w:rsidR="002247BF" w:rsidRPr="00241BC1" w:rsidRDefault="002247BF" w:rsidP="002247B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C99B7D6" w14:textId="77777777" w:rsidR="002247BF" w:rsidRPr="00241BC1" w:rsidRDefault="002247BF" w:rsidP="002247BF">
      <w:pPr>
        <w:pStyle w:val="Heading2"/>
      </w:pPr>
      <w:r w:rsidRPr="00241BC1">
        <w:t>The School District’s Proportionate Share of the Net Pension Liability</w:t>
      </w:r>
      <w:r>
        <w:t xml:space="preserve"> (Asset)</w:t>
      </w:r>
      <w:r w:rsidRPr="00241BC1">
        <w:t xml:space="preserve"> </w:t>
      </w:r>
    </w:p>
    <w:p w14:paraId="602E7C16" w14:textId="77777777" w:rsidR="002247BF" w:rsidRPr="00241BC1" w:rsidRDefault="002247BF" w:rsidP="002247BF">
      <w:pPr>
        <w:rPr>
          <w:rFonts w:cs="Arial"/>
          <w:b/>
          <w:szCs w:val="22"/>
        </w:rPr>
      </w:pPr>
    </w:p>
    <w:p w14:paraId="725B2ED5" w14:textId="77777777" w:rsidR="002247BF" w:rsidRPr="00241BC1" w:rsidRDefault="002247BF" w:rsidP="002247BF">
      <w:pPr>
        <w:rPr>
          <w:rFonts w:cs="Arial"/>
          <w:szCs w:val="22"/>
        </w:rPr>
      </w:pPr>
      <w:r w:rsidRPr="00241BC1">
        <w:rPr>
          <w:rFonts w:cs="Arial"/>
          <w:szCs w:val="22"/>
        </w:rPr>
        <w:t>At June 30, 20</w:t>
      </w:r>
      <w:r>
        <w:rPr>
          <w:rFonts w:cs="Arial"/>
          <w:szCs w:val="22"/>
        </w:rPr>
        <w:t>24</w:t>
      </w:r>
      <w:r w:rsidRPr="00241BC1">
        <w:rPr>
          <w:rFonts w:cs="Arial"/>
          <w:szCs w:val="22"/>
        </w:rPr>
        <w:t>, the school district reported a total liability of $</w:t>
      </w:r>
      <w:r w:rsidRPr="00241BC1">
        <w:rPr>
          <w:rFonts w:cs="Arial"/>
          <w:b/>
          <w:szCs w:val="22"/>
        </w:rPr>
        <w:t>_________</w:t>
      </w:r>
      <w:r w:rsidRPr="00241BC1">
        <w:rPr>
          <w:rFonts w:cs="Arial"/>
          <w:szCs w:val="22"/>
        </w:rPr>
        <w:t xml:space="preserve"> for its proportionate shares of the individual plans’ collective net pension liability</w:t>
      </w:r>
      <w:r>
        <w:rPr>
          <w:rFonts w:cs="Arial"/>
          <w:szCs w:val="22"/>
        </w:rPr>
        <w:t xml:space="preserve"> and </w:t>
      </w:r>
      <w:r w:rsidRPr="00241BC1">
        <w:rPr>
          <w:rFonts w:cs="Arial"/>
          <w:szCs w:val="22"/>
        </w:rPr>
        <w:t>$</w:t>
      </w:r>
      <w:r w:rsidRPr="00241BC1">
        <w:rPr>
          <w:rFonts w:cs="Arial"/>
          <w:b/>
          <w:szCs w:val="22"/>
        </w:rPr>
        <w:t>________</w:t>
      </w:r>
      <w:proofErr w:type="gramStart"/>
      <w:r w:rsidRPr="00241BC1">
        <w:rPr>
          <w:rFonts w:cs="Arial"/>
          <w:b/>
          <w:szCs w:val="22"/>
        </w:rPr>
        <w:t>_</w:t>
      </w:r>
      <w:r>
        <w:rPr>
          <w:rFonts w:cs="Arial"/>
          <w:b/>
          <w:szCs w:val="22"/>
        </w:rPr>
        <w:t xml:space="preserve"> </w:t>
      </w:r>
      <w:r>
        <w:rPr>
          <w:rFonts w:cs="Arial"/>
          <w:szCs w:val="22"/>
        </w:rPr>
        <w:t xml:space="preserve"> </w:t>
      </w:r>
      <w:r w:rsidRPr="00241BC1">
        <w:rPr>
          <w:rFonts w:cs="Arial"/>
          <w:szCs w:val="22"/>
        </w:rPr>
        <w:t>for</w:t>
      </w:r>
      <w:proofErr w:type="gramEnd"/>
      <w:r w:rsidRPr="00241BC1">
        <w:rPr>
          <w:rFonts w:cs="Arial"/>
          <w:szCs w:val="22"/>
        </w:rPr>
        <w:t xml:space="preserve"> its proportionate shares of net pension</w:t>
      </w:r>
      <w:r>
        <w:rPr>
          <w:rFonts w:cs="Arial"/>
          <w:szCs w:val="22"/>
        </w:rPr>
        <w:t xml:space="preserve"> assets. </w:t>
      </w:r>
      <w:r w:rsidRPr="00241BC1">
        <w:rPr>
          <w:rFonts w:cs="Arial"/>
          <w:szCs w:val="22"/>
        </w:rPr>
        <w:t xml:space="preserve">Proportions of net pension </w:t>
      </w:r>
      <w:r>
        <w:rPr>
          <w:rFonts w:cs="Arial"/>
          <w:szCs w:val="22"/>
        </w:rPr>
        <w:t xml:space="preserve">amounts are </w:t>
      </w:r>
      <w:r w:rsidRPr="00241BC1">
        <w:rPr>
          <w:rFonts w:cs="Arial"/>
          <w:szCs w:val="22"/>
        </w:rPr>
        <w:t xml:space="preserve">based on annual contributions for each of the employers participating in the DRS administered plans. </w:t>
      </w:r>
      <w:proofErr w:type="gramStart"/>
      <w:r w:rsidRPr="00241BC1">
        <w:rPr>
          <w:rFonts w:cs="Arial"/>
          <w:szCs w:val="22"/>
        </w:rPr>
        <w:t>At</w:t>
      </w:r>
      <w:proofErr w:type="gramEnd"/>
      <w:r w:rsidRPr="00241BC1">
        <w:rPr>
          <w:rFonts w:cs="Arial"/>
          <w:szCs w:val="22"/>
        </w:rPr>
        <w:t xml:space="preserve"> June 30, 20</w:t>
      </w:r>
      <w:r>
        <w:rPr>
          <w:rFonts w:cs="Arial"/>
          <w:szCs w:val="22"/>
        </w:rPr>
        <w:t>24</w:t>
      </w:r>
      <w:r w:rsidRPr="00241BC1">
        <w:rPr>
          <w:rFonts w:cs="Arial"/>
          <w:szCs w:val="22"/>
        </w:rPr>
        <w:t xml:space="preserve"> the district’s proportionate share of each plan’s net pension liability is reported below:</w:t>
      </w:r>
    </w:p>
    <w:p w14:paraId="2F208F3A" w14:textId="77777777" w:rsidR="002247BF" w:rsidRPr="00241BC1" w:rsidRDefault="002247BF" w:rsidP="002247BF">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2247BF" w:rsidRPr="00911FA8" w14:paraId="3DA57FC5" w14:textId="77777777" w:rsidTr="0009357B">
        <w:trPr>
          <w:trHeight w:val="259"/>
          <w:tblHeader/>
        </w:trPr>
        <w:tc>
          <w:tcPr>
            <w:tcW w:w="2268" w:type="dxa"/>
            <w:shd w:val="clear" w:color="auto" w:fill="D9D9D9" w:themeFill="background1" w:themeFillShade="D9"/>
            <w:vAlign w:val="bottom"/>
          </w:tcPr>
          <w:p w14:paraId="0F2362A4" w14:textId="77777777" w:rsidR="002247BF" w:rsidRPr="00241BC1" w:rsidRDefault="002247BF" w:rsidP="0009357B">
            <w:pPr>
              <w:jc w:val="center"/>
              <w:rPr>
                <w:rFonts w:cs="Arial"/>
                <w:bCs/>
                <w:szCs w:val="22"/>
              </w:rPr>
            </w:pPr>
            <w:r w:rsidRPr="00241BC1">
              <w:rPr>
                <w:rFonts w:cs="Arial"/>
                <w:bCs/>
                <w:szCs w:val="22"/>
              </w:rPr>
              <w:t>June 30, 20</w:t>
            </w:r>
            <w:r>
              <w:rPr>
                <w:rFonts w:cs="Arial"/>
                <w:bCs/>
                <w:szCs w:val="22"/>
              </w:rPr>
              <w:t>24</w:t>
            </w:r>
          </w:p>
        </w:tc>
        <w:tc>
          <w:tcPr>
            <w:tcW w:w="1777" w:type="dxa"/>
            <w:shd w:val="clear" w:color="auto" w:fill="D9D9D9" w:themeFill="background1" w:themeFillShade="D9"/>
            <w:vAlign w:val="bottom"/>
          </w:tcPr>
          <w:p w14:paraId="5B8BD464" w14:textId="77777777" w:rsidR="002247BF" w:rsidRPr="00241BC1" w:rsidRDefault="002247BF" w:rsidP="0009357B">
            <w:pPr>
              <w:jc w:val="center"/>
              <w:rPr>
                <w:rFonts w:cs="Arial"/>
                <w:szCs w:val="22"/>
              </w:rPr>
            </w:pPr>
            <w:r w:rsidRPr="00241BC1">
              <w:rPr>
                <w:rFonts w:cs="Arial"/>
                <w:szCs w:val="22"/>
              </w:rPr>
              <w:t>PERS 1</w:t>
            </w:r>
          </w:p>
        </w:tc>
        <w:tc>
          <w:tcPr>
            <w:tcW w:w="1777" w:type="dxa"/>
            <w:shd w:val="clear" w:color="auto" w:fill="D9D9D9" w:themeFill="background1" w:themeFillShade="D9"/>
            <w:vAlign w:val="bottom"/>
          </w:tcPr>
          <w:p w14:paraId="1E5FDD9E" w14:textId="77777777" w:rsidR="002247BF" w:rsidRPr="00241BC1" w:rsidRDefault="002247BF" w:rsidP="0009357B">
            <w:pPr>
              <w:jc w:val="center"/>
              <w:rPr>
                <w:rFonts w:cs="Arial"/>
                <w:szCs w:val="22"/>
              </w:rPr>
            </w:pPr>
            <w:r w:rsidRPr="00241BC1">
              <w:rPr>
                <w:rFonts w:cs="Arial"/>
                <w:szCs w:val="22"/>
              </w:rPr>
              <w:t>SERS 2/3</w:t>
            </w:r>
          </w:p>
        </w:tc>
        <w:tc>
          <w:tcPr>
            <w:tcW w:w="1777" w:type="dxa"/>
            <w:shd w:val="clear" w:color="auto" w:fill="D9D9D9" w:themeFill="background1" w:themeFillShade="D9"/>
            <w:vAlign w:val="bottom"/>
          </w:tcPr>
          <w:p w14:paraId="5EC5AF58" w14:textId="77777777" w:rsidR="002247BF" w:rsidRPr="00241BC1" w:rsidRDefault="002247BF" w:rsidP="0009357B">
            <w:pPr>
              <w:jc w:val="center"/>
              <w:rPr>
                <w:rFonts w:cs="Arial"/>
                <w:szCs w:val="22"/>
              </w:rPr>
            </w:pPr>
            <w:r w:rsidRPr="00241BC1">
              <w:rPr>
                <w:rFonts w:cs="Arial"/>
                <w:szCs w:val="22"/>
              </w:rPr>
              <w:t>TRS 1</w:t>
            </w:r>
          </w:p>
        </w:tc>
        <w:tc>
          <w:tcPr>
            <w:tcW w:w="1778" w:type="dxa"/>
            <w:shd w:val="clear" w:color="auto" w:fill="D9D9D9" w:themeFill="background1" w:themeFillShade="D9"/>
            <w:vAlign w:val="bottom"/>
          </w:tcPr>
          <w:p w14:paraId="60E49E9B" w14:textId="77777777" w:rsidR="002247BF" w:rsidRPr="00241BC1" w:rsidRDefault="002247BF" w:rsidP="0009357B">
            <w:pPr>
              <w:jc w:val="center"/>
              <w:rPr>
                <w:rFonts w:cs="Arial"/>
                <w:szCs w:val="22"/>
              </w:rPr>
            </w:pPr>
            <w:r w:rsidRPr="00241BC1">
              <w:rPr>
                <w:rFonts w:cs="Arial"/>
                <w:szCs w:val="22"/>
              </w:rPr>
              <w:t>TRS 2/3</w:t>
            </w:r>
          </w:p>
        </w:tc>
      </w:tr>
      <w:tr w:rsidR="002247BF" w:rsidRPr="00911FA8" w14:paraId="710D218A" w14:textId="77777777" w:rsidTr="0009357B">
        <w:trPr>
          <w:trHeight w:val="467"/>
          <w:tblHeader/>
        </w:trPr>
        <w:tc>
          <w:tcPr>
            <w:tcW w:w="2268" w:type="dxa"/>
          </w:tcPr>
          <w:p w14:paraId="11236BC8" w14:textId="77777777" w:rsidR="002247BF" w:rsidRPr="00241BC1" w:rsidRDefault="002247BF" w:rsidP="0009357B">
            <w:pPr>
              <w:rPr>
                <w:rFonts w:cs="Arial"/>
                <w:szCs w:val="22"/>
              </w:rPr>
            </w:pPr>
            <w:r w:rsidRPr="00241BC1">
              <w:rPr>
                <w:rFonts w:cs="Arial"/>
                <w:szCs w:val="22"/>
              </w:rPr>
              <w:t>District’s Annual Contributions</w:t>
            </w:r>
          </w:p>
        </w:tc>
        <w:tc>
          <w:tcPr>
            <w:tcW w:w="1777" w:type="dxa"/>
            <w:vAlign w:val="center"/>
          </w:tcPr>
          <w:p w14:paraId="16EA8883" w14:textId="77777777" w:rsidR="002247BF" w:rsidRPr="00241BC1" w:rsidRDefault="002247BF" w:rsidP="0009357B">
            <w:pPr>
              <w:rPr>
                <w:rFonts w:cs="Arial"/>
                <w:szCs w:val="22"/>
              </w:rPr>
            </w:pPr>
          </w:p>
        </w:tc>
        <w:tc>
          <w:tcPr>
            <w:tcW w:w="1777" w:type="dxa"/>
            <w:vAlign w:val="center"/>
          </w:tcPr>
          <w:p w14:paraId="3E83CD8D" w14:textId="77777777" w:rsidR="002247BF" w:rsidRPr="00241BC1" w:rsidRDefault="002247BF" w:rsidP="0009357B">
            <w:pPr>
              <w:rPr>
                <w:rFonts w:cs="Arial"/>
                <w:szCs w:val="22"/>
              </w:rPr>
            </w:pPr>
          </w:p>
        </w:tc>
        <w:tc>
          <w:tcPr>
            <w:tcW w:w="1777" w:type="dxa"/>
            <w:vAlign w:val="center"/>
          </w:tcPr>
          <w:p w14:paraId="61716A65" w14:textId="77777777" w:rsidR="002247BF" w:rsidRPr="00241BC1" w:rsidRDefault="002247BF" w:rsidP="0009357B">
            <w:pPr>
              <w:rPr>
                <w:rFonts w:cs="Arial"/>
                <w:szCs w:val="22"/>
              </w:rPr>
            </w:pPr>
          </w:p>
        </w:tc>
        <w:tc>
          <w:tcPr>
            <w:tcW w:w="1778" w:type="dxa"/>
            <w:vAlign w:val="center"/>
          </w:tcPr>
          <w:p w14:paraId="570B8C2B" w14:textId="77777777" w:rsidR="002247BF" w:rsidRPr="00241BC1" w:rsidRDefault="002247BF" w:rsidP="0009357B">
            <w:pPr>
              <w:rPr>
                <w:rFonts w:cs="Arial"/>
                <w:szCs w:val="22"/>
              </w:rPr>
            </w:pPr>
          </w:p>
        </w:tc>
      </w:tr>
      <w:tr w:rsidR="002247BF" w:rsidRPr="00911FA8" w14:paraId="79B34DEF" w14:textId="77777777" w:rsidTr="0009357B">
        <w:trPr>
          <w:trHeight w:val="782"/>
          <w:tblHeader/>
        </w:trPr>
        <w:tc>
          <w:tcPr>
            <w:tcW w:w="2268" w:type="dxa"/>
          </w:tcPr>
          <w:p w14:paraId="1FCC95C2" w14:textId="77777777" w:rsidR="002247BF" w:rsidRPr="00241BC1" w:rsidRDefault="002247BF" w:rsidP="0009357B">
            <w:pPr>
              <w:rPr>
                <w:rFonts w:cs="Arial"/>
                <w:szCs w:val="22"/>
              </w:rPr>
            </w:pPr>
            <w:r w:rsidRPr="00241BC1">
              <w:rPr>
                <w:rFonts w:cs="Arial"/>
                <w:szCs w:val="22"/>
              </w:rPr>
              <w:t>Proportionate Share of the Net Pension Liability</w:t>
            </w:r>
            <w:r>
              <w:rPr>
                <w:rFonts w:cs="Arial"/>
                <w:szCs w:val="22"/>
              </w:rPr>
              <w:t xml:space="preserve"> (Asset)</w:t>
            </w:r>
          </w:p>
        </w:tc>
        <w:tc>
          <w:tcPr>
            <w:tcW w:w="1777" w:type="dxa"/>
            <w:vAlign w:val="center"/>
          </w:tcPr>
          <w:p w14:paraId="0699F93D" w14:textId="77777777" w:rsidR="002247BF" w:rsidRPr="00241BC1" w:rsidRDefault="002247BF" w:rsidP="0009357B">
            <w:pPr>
              <w:rPr>
                <w:rFonts w:cs="Arial"/>
                <w:szCs w:val="22"/>
              </w:rPr>
            </w:pPr>
          </w:p>
        </w:tc>
        <w:tc>
          <w:tcPr>
            <w:tcW w:w="1777" w:type="dxa"/>
            <w:vAlign w:val="center"/>
          </w:tcPr>
          <w:p w14:paraId="5BFB50C1" w14:textId="77777777" w:rsidR="002247BF" w:rsidRPr="00241BC1" w:rsidRDefault="002247BF" w:rsidP="0009357B">
            <w:pPr>
              <w:rPr>
                <w:rFonts w:cs="Arial"/>
                <w:szCs w:val="22"/>
              </w:rPr>
            </w:pPr>
          </w:p>
        </w:tc>
        <w:tc>
          <w:tcPr>
            <w:tcW w:w="1777" w:type="dxa"/>
            <w:vAlign w:val="center"/>
          </w:tcPr>
          <w:p w14:paraId="5355F3C6" w14:textId="77777777" w:rsidR="002247BF" w:rsidRPr="00241BC1" w:rsidRDefault="002247BF" w:rsidP="0009357B">
            <w:pPr>
              <w:rPr>
                <w:rFonts w:cs="Arial"/>
                <w:szCs w:val="22"/>
              </w:rPr>
            </w:pPr>
          </w:p>
        </w:tc>
        <w:tc>
          <w:tcPr>
            <w:tcW w:w="1778" w:type="dxa"/>
            <w:vAlign w:val="center"/>
          </w:tcPr>
          <w:p w14:paraId="2375CFD8" w14:textId="77777777" w:rsidR="002247BF" w:rsidRPr="00241BC1" w:rsidRDefault="002247BF" w:rsidP="0009357B">
            <w:pPr>
              <w:rPr>
                <w:rFonts w:cs="Arial"/>
                <w:szCs w:val="22"/>
              </w:rPr>
            </w:pPr>
          </w:p>
        </w:tc>
      </w:tr>
    </w:tbl>
    <w:p w14:paraId="6EC1BA10" w14:textId="77777777" w:rsidR="002247BF" w:rsidRPr="00241BC1" w:rsidRDefault="002247BF" w:rsidP="002247BF">
      <w:pPr>
        <w:rPr>
          <w:rFonts w:cs="Arial"/>
          <w:szCs w:val="22"/>
        </w:rPr>
      </w:pPr>
    </w:p>
    <w:p w14:paraId="190BFBEA" w14:textId="77777777" w:rsidR="002247BF" w:rsidRPr="00241BC1" w:rsidRDefault="002247BF" w:rsidP="002247BF">
      <w:pPr>
        <w:rPr>
          <w:szCs w:val="22"/>
        </w:rPr>
      </w:pPr>
      <w:proofErr w:type="gramStart"/>
      <w:r w:rsidRPr="00241BC1">
        <w:rPr>
          <w:szCs w:val="22"/>
        </w:rPr>
        <w:t>At</w:t>
      </w:r>
      <w:proofErr w:type="gramEnd"/>
      <w:r w:rsidRPr="00241BC1">
        <w:rPr>
          <w:szCs w:val="22"/>
        </w:rPr>
        <w:t xml:space="preserve"> </w:t>
      </w:r>
      <w:r w:rsidRPr="00F31937">
        <w:rPr>
          <w:bCs/>
          <w:szCs w:val="22"/>
        </w:rPr>
        <w:t>June 30,</w:t>
      </w:r>
      <w:r w:rsidRPr="00241BC1">
        <w:rPr>
          <w:b/>
          <w:szCs w:val="22"/>
        </w:rPr>
        <w:t xml:space="preserve"> </w:t>
      </w:r>
      <w:r w:rsidRPr="00241BC1">
        <w:rPr>
          <w:szCs w:val="22"/>
        </w:rPr>
        <w:t>20</w:t>
      </w:r>
      <w:r>
        <w:rPr>
          <w:szCs w:val="22"/>
        </w:rPr>
        <w:t>24</w:t>
      </w:r>
      <w:r w:rsidRPr="00241BC1">
        <w:rPr>
          <w:szCs w:val="22"/>
        </w:rPr>
        <w:t xml:space="preserve">, the school district’s percentage of the proportionate share of the collective net pension </w:t>
      </w:r>
      <w:r>
        <w:rPr>
          <w:szCs w:val="22"/>
        </w:rPr>
        <w:t xml:space="preserve">amount </w:t>
      </w:r>
      <w:r w:rsidRPr="00241BC1">
        <w:rPr>
          <w:szCs w:val="22"/>
        </w:rPr>
        <w:t xml:space="preserve">was as follows and the change in the allocation percentage from the prior period is illustrated below. </w:t>
      </w:r>
    </w:p>
    <w:p w14:paraId="7BCBFC79" w14:textId="77777777" w:rsidR="002247BF" w:rsidRPr="00241BC1" w:rsidRDefault="002247BF" w:rsidP="002247BF">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2247BF" w:rsidRPr="00911FA8" w14:paraId="06FA50A2" w14:textId="77777777" w:rsidTr="0009357B">
        <w:trPr>
          <w:trHeight w:val="557"/>
          <w:tblHeader/>
        </w:trPr>
        <w:tc>
          <w:tcPr>
            <w:tcW w:w="3348" w:type="dxa"/>
            <w:shd w:val="clear" w:color="auto" w:fill="D9D9D9" w:themeFill="background1" w:themeFillShade="D9"/>
            <w:vAlign w:val="center"/>
            <w:hideMark/>
          </w:tcPr>
          <w:p w14:paraId="5BA19E33" w14:textId="77777777" w:rsidR="002247BF" w:rsidRPr="00241BC1" w:rsidRDefault="002247BF" w:rsidP="0009357B">
            <w:pPr>
              <w:rPr>
                <w:rFonts w:cs="Arial"/>
                <w:bCs/>
                <w:szCs w:val="22"/>
              </w:rPr>
            </w:pPr>
            <w:r w:rsidRPr="00241BC1">
              <w:rPr>
                <w:rFonts w:cs="Arial"/>
                <w:bCs/>
                <w:szCs w:val="22"/>
              </w:rPr>
              <w:lastRenderedPageBreak/>
              <w:t>Change in Proportionate Shares</w:t>
            </w:r>
          </w:p>
        </w:tc>
        <w:tc>
          <w:tcPr>
            <w:tcW w:w="1620" w:type="dxa"/>
            <w:shd w:val="clear" w:color="auto" w:fill="D9D9D9" w:themeFill="background1" w:themeFillShade="D9"/>
            <w:vAlign w:val="center"/>
            <w:hideMark/>
          </w:tcPr>
          <w:p w14:paraId="623EE843" w14:textId="77777777" w:rsidR="002247BF" w:rsidRPr="00241BC1" w:rsidRDefault="002247BF" w:rsidP="0009357B">
            <w:pPr>
              <w:jc w:val="center"/>
              <w:rPr>
                <w:rFonts w:cs="Arial"/>
                <w:szCs w:val="22"/>
              </w:rPr>
            </w:pPr>
            <w:r w:rsidRPr="00241BC1">
              <w:rPr>
                <w:rFonts w:cs="Arial"/>
                <w:szCs w:val="22"/>
              </w:rPr>
              <w:t>PERS 1</w:t>
            </w:r>
          </w:p>
        </w:tc>
        <w:tc>
          <w:tcPr>
            <w:tcW w:w="1530" w:type="dxa"/>
            <w:shd w:val="clear" w:color="auto" w:fill="D9D9D9" w:themeFill="background1" w:themeFillShade="D9"/>
            <w:vAlign w:val="center"/>
            <w:hideMark/>
          </w:tcPr>
          <w:p w14:paraId="22613519" w14:textId="77777777" w:rsidR="002247BF" w:rsidRPr="00241BC1" w:rsidRDefault="002247BF" w:rsidP="0009357B">
            <w:pPr>
              <w:jc w:val="center"/>
              <w:rPr>
                <w:rFonts w:cs="Arial"/>
                <w:szCs w:val="22"/>
              </w:rPr>
            </w:pPr>
            <w:r w:rsidRPr="00241BC1">
              <w:rPr>
                <w:rFonts w:cs="Arial"/>
                <w:szCs w:val="22"/>
              </w:rPr>
              <w:t>SERS 2/3</w:t>
            </w:r>
          </w:p>
        </w:tc>
        <w:tc>
          <w:tcPr>
            <w:tcW w:w="1440" w:type="dxa"/>
            <w:shd w:val="clear" w:color="auto" w:fill="D9D9D9" w:themeFill="background1" w:themeFillShade="D9"/>
            <w:vAlign w:val="center"/>
            <w:hideMark/>
          </w:tcPr>
          <w:p w14:paraId="063EC2FF" w14:textId="77777777" w:rsidR="002247BF" w:rsidRPr="00241BC1" w:rsidRDefault="002247BF" w:rsidP="0009357B">
            <w:pPr>
              <w:jc w:val="center"/>
              <w:rPr>
                <w:rFonts w:cs="Arial"/>
                <w:szCs w:val="22"/>
              </w:rPr>
            </w:pPr>
            <w:r w:rsidRPr="00241BC1">
              <w:rPr>
                <w:rFonts w:cs="Arial"/>
                <w:szCs w:val="22"/>
              </w:rPr>
              <w:t>TRS 1</w:t>
            </w:r>
          </w:p>
        </w:tc>
        <w:tc>
          <w:tcPr>
            <w:tcW w:w="1609" w:type="dxa"/>
            <w:shd w:val="clear" w:color="auto" w:fill="D9D9D9" w:themeFill="background1" w:themeFillShade="D9"/>
            <w:vAlign w:val="center"/>
            <w:hideMark/>
          </w:tcPr>
          <w:p w14:paraId="30CB6BFB" w14:textId="77777777" w:rsidR="002247BF" w:rsidRPr="00241BC1" w:rsidRDefault="002247BF" w:rsidP="0009357B">
            <w:pPr>
              <w:jc w:val="center"/>
              <w:rPr>
                <w:rFonts w:cs="Arial"/>
                <w:szCs w:val="22"/>
              </w:rPr>
            </w:pPr>
            <w:r w:rsidRPr="00241BC1">
              <w:rPr>
                <w:rFonts w:cs="Arial"/>
                <w:szCs w:val="22"/>
              </w:rPr>
              <w:t>TRS 2/3</w:t>
            </w:r>
          </w:p>
        </w:tc>
      </w:tr>
      <w:tr w:rsidR="002247BF" w:rsidRPr="00911FA8" w14:paraId="1B7243B7" w14:textId="77777777" w:rsidTr="0009357B">
        <w:trPr>
          <w:trHeight w:val="557"/>
          <w:tblHeader/>
        </w:trPr>
        <w:tc>
          <w:tcPr>
            <w:tcW w:w="3348" w:type="dxa"/>
            <w:vAlign w:val="center"/>
            <w:hideMark/>
          </w:tcPr>
          <w:p w14:paraId="4BF3FF2A" w14:textId="77777777" w:rsidR="002247BF" w:rsidRPr="00241BC1" w:rsidRDefault="002247BF" w:rsidP="0009357B">
            <w:pPr>
              <w:rPr>
                <w:rFonts w:cs="Arial"/>
                <w:szCs w:val="22"/>
              </w:rPr>
            </w:pPr>
            <w:r w:rsidRPr="00241BC1">
              <w:rPr>
                <w:rFonts w:cs="Arial"/>
                <w:szCs w:val="22"/>
              </w:rPr>
              <w:t xml:space="preserve">Current year proportionate share </w:t>
            </w:r>
          </w:p>
        </w:tc>
        <w:tc>
          <w:tcPr>
            <w:tcW w:w="1620" w:type="dxa"/>
            <w:vAlign w:val="center"/>
          </w:tcPr>
          <w:p w14:paraId="6A90BD74" w14:textId="77777777" w:rsidR="002247BF" w:rsidRPr="00241BC1" w:rsidRDefault="002247BF" w:rsidP="0009357B">
            <w:pPr>
              <w:jc w:val="center"/>
              <w:rPr>
                <w:rFonts w:cs="Arial"/>
                <w:szCs w:val="22"/>
              </w:rPr>
            </w:pPr>
          </w:p>
        </w:tc>
        <w:tc>
          <w:tcPr>
            <w:tcW w:w="1530" w:type="dxa"/>
            <w:vAlign w:val="center"/>
          </w:tcPr>
          <w:p w14:paraId="4DC10B1E" w14:textId="77777777" w:rsidR="002247BF" w:rsidRPr="00241BC1" w:rsidRDefault="002247BF" w:rsidP="0009357B">
            <w:pPr>
              <w:jc w:val="center"/>
              <w:rPr>
                <w:rFonts w:cs="Arial"/>
                <w:szCs w:val="22"/>
              </w:rPr>
            </w:pPr>
          </w:p>
        </w:tc>
        <w:tc>
          <w:tcPr>
            <w:tcW w:w="1440" w:type="dxa"/>
            <w:vAlign w:val="center"/>
          </w:tcPr>
          <w:p w14:paraId="01D46108" w14:textId="77777777" w:rsidR="002247BF" w:rsidRPr="00241BC1" w:rsidRDefault="002247BF" w:rsidP="0009357B">
            <w:pPr>
              <w:jc w:val="center"/>
              <w:rPr>
                <w:rFonts w:cs="Arial"/>
                <w:szCs w:val="22"/>
              </w:rPr>
            </w:pPr>
          </w:p>
        </w:tc>
        <w:tc>
          <w:tcPr>
            <w:tcW w:w="1609" w:type="dxa"/>
            <w:vAlign w:val="center"/>
          </w:tcPr>
          <w:p w14:paraId="4B9B2F4C" w14:textId="77777777" w:rsidR="002247BF" w:rsidRPr="00241BC1" w:rsidRDefault="002247BF" w:rsidP="0009357B">
            <w:pPr>
              <w:jc w:val="center"/>
              <w:rPr>
                <w:rFonts w:cs="Arial"/>
                <w:szCs w:val="22"/>
              </w:rPr>
            </w:pPr>
          </w:p>
        </w:tc>
      </w:tr>
      <w:tr w:rsidR="002247BF" w:rsidRPr="00911FA8" w14:paraId="41F3F57F" w14:textId="77777777" w:rsidTr="0009357B">
        <w:trPr>
          <w:trHeight w:val="557"/>
          <w:tblHeader/>
        </w:trPr>
        <w:tc>
          <w:tcPr>
            <w:tcW w:w="3348" w:type="dxa"/>
            <w:vAlign w:val="center"/>
            <w:hideMark/>
          </w:tcPr>
          <w:p w14:paraId="099C8A71" w14:textId="77777777" w:rsidR="002247BF" w:rsidRPr="00241BC1" w:rsidRDefault="002247BF" w:rsidP="0009357B">
            <w:pPr>
              <w:rPr>
                <w:rFonts w:cs="Arial"/>
                <w:szCs w:val="22"/>
              </w:rPr>
            </w:pPr>
            <w:r w:rsidRPr="00241BC1">
              <w:rPr>
                <w:rFonts w:cs="Arial"/>
                <w:szCs w:val="22"/>
              </w:rPr>
              <w:t xml:space="preserve">Prior year proportionate share </w:t>
            </w:r>
          </w:p>
        </w:tc>
        <w:tc>
          <w:tcPr>
            <w:tcW w:w="1620" w:type="dxa"/>
            <w:vAlign w:val="center"/>
          </w:tcPr>
          <w:p w14:paraId="5577C50D" w14:textId="77777777" w:rsidR="002247BF" w:rsidRPr="00241BC1" w:rsidRDefault="002247BF" w:rsidP="0009357B">
            <w:pPr>
              <w:jc w:val="center"/>
              <w:rPr>
                <w:rFonts w:cs="Arial"/>
                <w:szCs w:val="22"/>
              </w:rPr>
            </w:pPr>
          </w:p>
        </w:tc>
        <w:tc>
          <w:tcPr>
            <w:tcW w:w="1530" w:type="dxa"/>
            <w:vAlign w:val="center"/>
          </w:tcPr>
          <w:p w14:paraId="6ECF5FCF" w14:textId="77777777" w:rsidR="002247BF" w:rsidRPr="00241BC1" w:rsidRDefault="002247BF" w:rsidP="0009357B">
            <w:pPr>
              <w:jc w:val="center"/>
              <w:rPr>
                <w:rFonts w:cs="Arial"/>
                <w:szCs w:val="22"/>
              </w:rPr>
            </w:pPr>
          </w:p>
        </w:tc>
        <w:tc>
          <w:tcPr>
            <w:tcW w:w="1440" w:type="dxa"/>
            <w:vAlign w:val="center"/>
          </w:tcPr>
          <w:p w14:paraId="249B6B1B" w14:textId="77777777" w:rsidR="002247BF" w:rsidRPr="00241BC1" w:rsidRDefault="002247BF" w:rsidP="0009357B">
            <w:pPr>
              <w:jc w:val="center"/>
              <w:rPr>
                <w:rFonts w:cs="Arial"/>
                <w:szCs w:val="22"/>
              </w:rPr>
            </w:pPr>
          </w:p>
        </w:tc>
        <w:tc>
          <w:tcPr>
            <w:tcW w:w="1609" w:type="dxa"/>
            <w:vAlign w:val="center"/>
          </w:tcPr>
          <w:p w14:paraId="7968BBA7" w14:textId="77777777" w:rsidR="002247BF" w:rsidRPr="00241BC1" w:rsidRDefault="002247BF" w:rsidP="0009357B">
            <w:pPr>
              <w:jc w:val="center"/>
              <w:rPr>
                <w:rFonts w:cs="Arial"/>
                <w:szCs w:val="22"/>
              </w:rPr>
            </w:pPr>
          </w:p>
        </w:tc>
      </w:tr>
      <w:tr w:rsidR="002247BF" w:rsidRPr="00911FA8" w14:paraId="6EAB0010" w14:textId="77777777" w:rsidTr="0009357B">
        <w:trPr>
          <w:trHeight w:val="557"/>
          <w:tblHeader/>
        </w:trPr>
        <w:tc>
          <w:tcPr>
            <w:tcW w:w="3348" w:type="dxa"/>
            <w:vAlign w:val="center"/>
            <w:hideMark/>
          </w:tcPr>
          <w:p w14:paraId="471DDE7B" w14:textId="77777777" w:rsidR="002247BF" w:rsidRPr="00241BC1" w:rsidRDefault="002247BF" w:rsidP="0009357B">
            <w:pPr>
              <w:rPr>
                <w:rFonts w:cs="Arial"/>
                <w:bCs/>
                <w:szCs w:val="22"/>
              </w:rPr>
            </w:pPr>
            <w:r w:rsidRPr="00241BC1">
              <w:rPr>
                <w:rFonts w:cs="Arial"/>
                <w:bCs/>
                <w:szCs w:val="22"/>
              </w:rPr>
              <w:t>Net difference percentage</w:t>
            </w:r>
          </w:p>
        </w:tc>
        <w:tc>
          <w:tcPr>
            <w:tcW w:w="1620" w:type="dxa"/>
            <w:vAlign w:val="center"/>
          </w:tcPr>
          <w:p w14:paraId="5FECEA40" w14:textId="77777777" w:rsidR="002247BF" w:rsidRPr="00241BC1" w:rsidRDefault="002247BF" w:rsidP="0009357B">
            <w:pPr>
              <w:jc w:val="center"/>
              <w:rPr>
                <w:rFonts w:cs="Arial"/>
                <w:b/>
                <w:bCs/>
                <w:szCs w:val="22"/>
              </w:rPr>
            </w:pPr>
          </w:p>
        </w:tc>
        <w:tc>
          <w:tcPr>
            <w:tcW w:w="1530" w:type="dxa"/>
            <w:vAlign w:val="center"/>
          </w:tcPr>
          <w:p w14:paraId="1EE383BA" w14:textId="77777777" w:rsidR="002247BF" w:rsidRPr="00241BC1" w:rsidRDefault="002247BF" w:rsidP="0009357B">
            <w:pPr>
              <w:jc w:val="center"/>
              <w:rPr>
                <w:rFonts w:cs="Arial"/>
                <w:b/>
                <w:bCs/>
                <w:szCs w:val="22"/>
              </w:rPr>
            </w:pPr>
          </w:p>
        </w:tc>
        <w:tc>
          <w:tcPr>
            <w:tcW w:w="1440" w:type="dxa"/>
            <w:vAlign w:val="center"/>
          </w:tcPr>
          <w:p w14:paraId="19412E52" w14:textId="77777777" w:rsidR="002247BF" w:rsidRPr="00241BC1" w:rsidRDefault="002247BF" w:rsidP="0009357B">
            <w:pPr>
              <w:jc w:val="center"/>
              <w:rPr>
                <w:rFonts w:cs="Arial"/>
                <w:b/>
                <w:bCs/>
                <w:szCs w:val="22"/>
              </w:rPr>
            </w:pPr>
          </w:p>
        </w:tc>
        <w:tc>
          <w:tcPr>
            <w:tcW w:w="1609" w:type="dxa"/>
            <w:vAlign w:val="center"/>
          </w:tcPr>
          <w:p w14:paraId="749AB8A8" w14:textId="77777777" w:rsidR="002247BF" w:rsidRPr="00241BC1" w:rsidRDefault="002247BF" w:rsidP="0009357B">
            <w:pPr>
              <w:jc w:val="center"/>
              <w:rPr>
                <w:rFonts w:cs="Arial"/>
                <w:b/>
                <w:bCs/>
                <w:szCs w:val="22"/>
              </w:rPr>
            </w:pPr>
          </w:p>
        </w:tc>
      </w:tr>
    </w:tbl>
    <w:p w14:paraId="312E498B" w14:textId="77777777" w:rsidR="002247BF" w:rsidRPr="00241BC1"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
          <w:sz w:val="24"/>
          <w:szCs w:val="22"/>
        </w:rPr>
      </w:pPr>
    </w:p>
    <w:p w14:paraId="57C82A58" w14:textId="77777777" w:rsidR="002247BF" w:rsidRPr="00241BC1" w:rsidRDefault="002247BF" w:rsidP="002247BF">
      <w:pPr>
        <w:pStyle w:val="Heading2"/>
      </w:pPr>
      <w:r w:rsidRPr="00C83A6E">
        <w:t>Actuarial Assumptions</w:t>
      </w:r>
      <w:r w:rsidRPr="00241BC1">
        <w:t xml:space="preserve"> </w:t>
      </w:r>
    </w:p>
    <w:p w14:paraId="350D4B6F" w14:textId="77777777" w:rsidR="002247BF" w:rsidRPr="00241BC1"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5A13B684" w14:textId="77777777" w:rsidR="002247BF" w:rsidRPr="001D0F35" w:rsidRDefault="002247BF" w:rsidP="00224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sidRPr="001D0F35">
        <w:rPr>
          <w:rFonts w:cs="Segoe UI"/>
          <w:szCs w:val="22"/>
        </w:rPr>
        <w:t xml:space="preserve">The total pension liabilities for TRS 1, TRS 2/3, PERS 1 and SERS 2/3 were determined by actuarial valuation as </w:t>
      </w:r>
      <w:r w:rsidRPr="004D3B80">
        <w:rPr>
          <w:rFonts w:cs="Segoe UI"/>
          <w:szCs w:val="22"/>
        </w:rPr>
        <w:t>of June 30, 2022,</w:t>
      </w:r>
      <w:r w:rsidRPr="001D0F35">
        <w:rPr>
          <w:rFonts w:cs="Segoe UI"/>
          <w:szCs w:val="22"/>
        </w:rPr>
        <w:t xml:space="preserve"> with the results rolled forward to June 30, 202</w:t>
      </w:r>
      <w:r>
        <w:rPr>
          <w:rFonts w:cs="Segoe UI"/>
          <w:szCs w:val="22"/>
        </w:rPr>
        <w:t>4</w:t>
      </w:r>
      <w:r w:rsidRPr="001D0F35">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2247BF" w:rsidRPr="00911FA8" w14:paraId="71EB46D9" w14:textId="77777777" w:rsidTr="0009357B">
        <w:trPr>
          <w:tblHeader/>
        </w:trPr>
        <w:tc>
          <w:tcPr>
            <w:tcW w:w="2880" w:type="dxa"/>
          </w:tcPr>
          <w:p w14:paraId="414DD3F3" w14:textId="77777777" w:rsidR="002247BF" w:rsidRPr="00241BC1" w:rsidRDefault="002247BF" w:rsidP="0009357B">
            <w:pPr>
              <w:rPr>
                <w:rFonts w:cs="Arial"/>
                <w:szCs w:val="22"/>
              </w:rPr>
            </w:pPr>
            <w:r w:rsidRPr="00241BC1">
              <w:rPr>
                <w:rFonts w:cs="Arial"/>
                <w:szCs w:val="22"/>
              </w:rPr>
              <w:t>Inflation</w:t>
            </w:r>
          </w:p>
        </w:tc>
        <w:tc>
          <w:tcPr>
            <w:tcW w:w="6678" w:type="dxa"/>
          </w:tcPr>
          <w:p w14:paraId="61C8DDA1" w14:textId="77777777" w:rsidR="002247BF" w:rsidRPr="00241BC1" w:rsidRDefault="002247BF" w:rsidP="0009357B">
            <w:pPr>
              <w:rPr>
                <w:rFonts w:cs="Arial"/>
                <w:szCs w:val="22"/>
              </w:rPr>
            </w:pPr>
            <w:r>
              <w:rPr>
                <w:szCs w:val="22"/>
              </w:rPr>
              <w:t>2.75%</w:t>
            </w:r>
            <w:r w:rsidRPr="00241BC1">
              <w:rPr>
                <w:szCs w:val="22"/>
              </w:rPr>
              <w:t xml:space="preserve"> total economic inflation, </w:t>
            </w:r>
            <w:r>
              <w:rPr>
                <w:szCs w:val="22"/>
              </w:rPr>
              <w:t>3.25</w:t>
            </w:r>
            <w:r w:rsidRPr="00241BC1">
              <w:rPr>
                <w:szCs w:val="22"/>
              </w:rPr>
              <w:t>% salary inflation</w:t>
            </w:r>
          </w:p>
        </w:tc>
      </w:tr>
      <w:tr w:rsidR="002247BF" w:rsidRPr="00911FA8" w14:paraId="65A0C5A4" w14:textId="77777777" w:rsidTr="0009357B">
        <w:trPr>
          <w:tblHeader/>
        </w:trPr>
        <w:tc>
          <w:tcPr>
            <w:tcW w:w="2880" w:type="dxa"/>
          </w:tcPr>
          <w:p w14:paraId="6A09D91B" w14:textId="77777777" w:rsidR="002247BF" w:rsidRPr="00241BC1" w:rsidRDefault="002247BF" w:rsidP="0009357B">
            <w:pPr>
              <w:rPr>
                <w:rFonts w:cs="Arial"/>
                <w:szCs w:val="22"/>
              </w:rPr>
            </w:pPr>
            <w:r w:rsidRPr="00241BC1">
              <w:rPr>
                <w:rFonts w:cs="Arial"/>
                <w:szCs w:val="22"/>
              </w:rPr>
              <w:t>Salary increases</w:t>
            </w:r>
          </w:p>
        </w:tc>
        <w:tc>
          <w:tcPr>
            <w:tcW w:w="6678" w:type="dxa"/>
          </w:tcPr>
          <w:p w14:paraId="16DADEC4" w14:textId="77777777" w:rsidR="002247BF" w:rsidRPr="00241BC1" w:rsidRDefault="002247BF" w:rsidP="0009357B">
            <w:pPr>
              <w:rPr>
                <w:rFonts w:cs="Arial"/>
                <w:szCs w:val="22"/>
              </w:rPr>
            </w:pPr>
            <w:r w:rsidRPr="00241BC1">
              <w:rPr>
                <w:szCs w:val="22"/>
              </w:rPr>
              <w:t xml:space="preserve">In addition to the base </w:t>
            </w:r>
            <w:r>
              <w:rPr>
                <w:szCs w:val="22"/>
              </w:rPr>
              <w:t>3.25</w:t>
            </w:r>
            <w:r w:rsidRPr="00241BC1">
              <w:rPr>
                <w:szCs w:val="22"/>
              </w:rPr>
              <w:t>% salary inflation assumption, salaries are also expected to grow by promotions and longevity.</w:t>
            </w:r>
          </w:p>
        </w:tc>
      </w:tr>
      <w:tr w:rsidR="002247BF" w:rsidRPr="00911FA8" w14:paraId="7C94FA13" w14:textId="77777777" w:rsidTr="0009357B">
        <w:trPr>
          <w:tblHeader/>
        </w:trPr>
        <w:tc>
          <w:tcPr>
            <w:tcW w:w="2880" w:type="dxa"/>
          </w:tcPr>
          <w:p w14:paraId="63CB0682" w14:textId="77777777" w:rsidR="002247BF" w:rsidRPr="00241BC1" w:rsidRDefault="002247BF" w:rsidP="0009357B">
            <w:pPr>
              <w:rPr>
                <w:rFonts w:cs="Arial"/>
                <w:szCs w:val="22"/>
              </w:rPr>
            </w:pPr>
            <w:r w:rsidRPr="00241BC1">
              <w:rPr>
                <w:rFonts w:cs="Arial"/>
                <w:szCs w:val="22"/>
              </w:rPr>
              <w:t>Investment rate of return</w:t>
            </w:r>
          </w:p>
        </w:tc>
        <w:tc>
          <w:tcPr>
            <w:tcW w:w="6678" w:type="dxa"/>
          </w:tcPr>
          <w:p w14:paraId="7EC59292" w14:textId="34293218" w:rsidR="002247BF" w:rsidRPr="00B079B4" w:rsidRDefault="002247BF" w:rsidP="0009357B">
            <w:pPr>
              <w:rPr>
                <w:szCs w:val="22"/>
              </w:rPr>
            </w:pPr>
            <w:r>
              <w:rPr>
                <w:szCs w:val="22"/>
              </w:rPr>
              <w:t>7.</w:t>
            </w:r>
            <w:r w:rsidR="00B079B4">
              <w:rPr>
                <w:szCs w:val="22"/>
              </w:rPr>
              <w:t>0</w:t>
            </w:r>
            <w:r>
              <w:rPr>
                <w:szCs w:val="22"/>
              </w:rPr>
              <w:t>0</w:t>
            </w:r>
            <w:r w:rsidRPr="00241BC1">
              <w:rPr>
                <w:szCs w:val="22"/>
              </w:rPr>
              <w:t xml:space="preserve">% </w:t>
            </w:r>
          </w:p>
        </w:tc>
      </w:tr>
    </w:tbl>
    <w:p w14:paraId="7A4AA1A9" w14:textId="77777777" w:rsidR="002247BF" w:rsidRPr="00241BC1" w:rsidRDefault="002247BF" w:rsidP="002247BF">
      <w:pPr>
        <w:rPr>
          <w:rFonts w:cs="Arial"/>
          <w:szCs w:val="22"/>
          <w:u w:val="single"/>
        </w:rPr>
      </w:pPr>
    </w:p>
    <w:p w14:paraId="1C28CCDA" w14:textId="77777777" w:rsidR="002247BF" w:rsidRDefault="002247BF" w:rsidP="002247BF">
      <w:pPr>
        <w:pStyle w:val="Heading4"/>
        <w:ind w:left="0"/>
      </w:pPr>
      <w:r w:rsidRPr="00912A65">
        <w:t>Mortality Rates</w:t>
      </w:r>
      <w:r w:rsidRPr="001D0F35">
        <w:t xml:space="preserve"> </w:t>
      </w:r>
    </w:p>
    <w:p w14:paraId="644795CB" w14:textId="55CF0CAA" w:rsidR="002247BF" w:rsidRDefault="002247BF" w:rsidP="002247BF">
      <w:pPr>
        <w:rPr>
          <w:rFonts w:cs="Segoe UI"/>
          <w:szCs w:val="22"/>
        </w:rPr>
      </w:pPr>
      <w:r w:rsidRPr="001D0F35">
        <w:rPr>
          <w:rFonts w:cs="Segoe UI"/>
          <w:szCs w:val="22"/>
        </w:rPr>
        <w:t>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MP-2017 generational improvement scale to project mortality rates for every year after the 2010 base table. The actuarial assumptions used in the June 30, 20</w:t>
      </w:r>
      <w:r>
        <w:rPr>
          <w:rFonts w:cs="Segoe UI"/>
          <w:szCs w:val="22"/>
        </w:rPr>
        <w:t>2</w:t>
      </w:r>
      <w:r w:rsidR="00B079B4">
        <w:rPr>
          <w:rFonts w:cs="Segoe UI"/>
          <w:szCs w:val="22"/>
        </w:rPr>
        <w:t>3</w:t>
      </w:r>
      <w:r w:rsidRPr="001D0F35">
        <w:rPr>
          <w:rFonts w:cs="Segoe UI"/>
          <w:szCs w:val="22"/>
        </w:rPr>
        <w:t xml:space="preserve">, valuation </w:t>
      </w:r>
      <w:proofErr w:type="gramStart"/>
      <w:r w:rsidRPr="001D0F35">
        <w:rPr>
          <w:rFonts w:cs="Segoe UI"/>
          <w:szCs w:val="22"/>
        </w:rPr>
        <w:t>were</w:t>
      </w:r>
      <w:proofErr w:type="gramEnd"/>
      <w:r w:rsidRPr="001D0F35">
        <w:rPr>
          <w:rFonts w:cs="Segoe UI"/>
          <w:szCs w:val="22"/>
        </w:rPr>
        <w:t xml:space="preserve"> based on the results of the </w:t>
      </w:r>
      <w:r w:rsidRPr="001D0F35">
        <w:rPr>
          <w:rFonts w:cs="Segoe UI"/>
          <w:i/>
          <w:szCs w:val="22"/>
        </w:rPr>
        <w:t>2013–2018 Demographic Experience Study</w:t>
      </w:r>
      <w:r w:rsidRPr="001D0F35">
        <w:rPr>
          <w:rFonts w:cs="Segoe UI"/>
          <w:szCs w:val="22"/>
        </w:rPr>
        <w:t xml:space="preserve"> </w:t>
      </w:r>
      <w:r w:rsidRPr="001D0F35">
        <w:rPr>
          <w:rFonts w:cs="Segoe UI"/>
          <w:i/>
          <w:szCs w:val="22"/>
        </w:rPr>
        <w:t>Report and the 20</w:t>
      </w:r>
      <w:r>
        <w:rPr>
          <w:rFonts w:cs="Segoe UI"/>
          <w:i/>
          <w:szCs w:val="22"/>
        </w:rPr>
        <w:t>2</w:t>
      </w:r>
      <w:r w:rsidR="00B079B4">
        <w:rPr>
          <w:rFonts w:cs="Segoe UI"/>
          <w:i/>
          <w:szCs w:val="22"/>
        </w:rPr>
        <w:t>3</w:t>
      </w:r>
      <w:r w:rsidRPr="001D0F35">
        <w:rPr>
          <w:rFonts w:cs="Segoe UI"/>
          <w:i/>
          <w:szCs w:val="22"/>
        </w:rPr>
        <w:t xml:space="preserve"> Economic Experience Study</w:t>
      </w:r>
      <w:r w:rsidRPr="001D0F35">
        <w:rPr>
          <w:rFonts w:cs="Segoe UI"/>
          <w:szCs w:val="22"/>
        </w:rPr>
        <w:t xml:space="preserve">. Additional assumptions for subsequent events and law changes are current as of the </w:t>
      </w:r>
      <w:r w:rsidR="00B079B4" w:rsidRPr="001D0F35">
        <w:rPr>
          <w:rFonts w:cs="Segoe UI"/>
          <w:szCs w:val="22"/>
        </w:rPr>
        <w:t>20</w:t>
      </w:r>
      <w:r w:rsidR="00B079B4">
        <w:rPr>
          <w:rFonts w:cs="Segoe UI"/>
          <w:szCs w:val="22"/>
        </w:rPr>
        <w:t>2</w:t>
      </w:r>
      <w:r w:rsidR="00B079B4">
        <w:rPr>
          <w:rFonts w:cs="Segoe UI"/>
          <w:szCs w:val="22"/>
        </w:rPr>
        <w:t>3</w:t>
      </w:r>
      <w:r w:rsidR="00B079B4" w:rsidRPr="001D0F35">
        <w:rPr>
          <w:rFonts w:cs="Segoe UI"/>
          <w:szCs w:val="22"/>
        </w:rPr>
        <w:t xml:space="preserve"> </w:t>
      </w:r>
      <w:r w:rsidRPr="001D0F35">
        <w:rPr>
          <w:rFonts w:cs="Segoe UI"/>
          <w:szCs w:val="22"/>
        </w:rPr>
        <w:t>actuarial valuation report.</w:t>
      </w:r>
    </w:p>
    <w:p w14:paraId="294A7B58" w14:textId="77777777" w:rsidR="002247BF" w:rsidRPr="001D0F35" w:rsidRDefault="002247BF" w:rsidP="002247BF">
      <w:pPr>
        <w:rPr>
          <w:rFonts w:cs="Segoe UI"/>
          <w:szCs w:val="22"/>
        </w:rPr>
      </w:pPr>
    </w:p>
    <w:p w14:paraId="296A9658" w14:textId="77777777" w:rsidR="002247BF" w:rsidRDefault="002247BF" w:rsidP="002247BF">
      <w:pPr>
        <w:pStyle w:val="Heading4"/>
        <w:ind w:left="0"/>
        <w:jc w:val="both"/>
      </w:pPr>
      <w:r w:rsidRPr="001D0F35">
        <w:t xml:space="preserve">Long-term Expected Rate of Return </w:t>
      </w:r>
    </w:p>
    <w:p w14:paraId="79166A5C" w14:textId="77777777" w:rsidR="002247BF" w:rsidRDefault="002247BF" w:rsidP="002247BF">
      <w:pPr>
        <w:autoSpaceDE w:val="0"/>
        <w:autoSpaceDN w:val="0"/>
        <w:adjustRightInd w:val="0"/>
        <w:spacing w:line="201" w:lineRule="atLeast"/>
        <w:rPr>
          <w:rFonts w:cs="Segoe UI"/>
          <w:szCs w:val="22"/>
        </w:rPr>
      </w:pPr>
      <w:r>
        <w:rPr>
          <w:rFonts w:cs="Segoe UI"/>
          <w:szCs w:val="22"/>
        </w:rPr>
        <w:t xml:space="preserve">OSA selected a 7.00% </w:t>
      </w:r>
      <w:r w:rsidRPr="001D0F35">
        <w:rPr>
          <w:rFonts w:cs="Segoe UI"/>
          <w:szCs w:val="22"/>
        </w:rPr>
        <w:t>long-term expected rate of return on pension plan investments using a building-block method</w:t>
      </w:r>
      <w:r>
        <w:rPr>
          <w:rFonts w:cs="Segoe UI"/>
          <w:szCs w:val="22"/>
        </w:rPr>
        <w:t>.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6BFB34B2" w14:textId="77777777" w:rsidR="002247BF" w:rsidRDefault="002247BF" w:rsidP="002247BF">
      <w:pPr>
        <w:autoSpaceDE w:val="0"/>
        <w:autoSpaceDN w:val="0"/>
        <w:adjustRightInd w:val="0"/>
        <w:spacing w:line="201" w:lineRule="atLeast"/>
        <w:rPr>
          <w:rFonts w:cs="Segoe UI"/>
          <w:szCs w:val="22"/>
        </w:rPr>
      </w:pPr>
    </w:p>
    <w:p w14:paraId="1F217273" w14:textId="77777777" w:rsidR="002247BF" w:rsidRPr="001D0F35" w:rsidRDefault="002247BF" w:rsidP="002247BF">
      <w:pPr>
        <w:autoSpaceDE w:val="0"/>
        <w:autoSpaceDN w:val="0"/>
        <w:adjustRightInd w:val="0"/>
        <w:spacing w:line="201" w:lineRule="atLeast"/>
        <w:rPr>
          <w:rFonts w:cs="Segoe UI"/>
          <w:szCs w:val="22"/>
        </w:rPr>
      </w:pPr>
      <w:r w:rsidRPr="001D0F35">
        <w:rPr>
          <w:rFonts w:cs="Segoe UI"/>
          <w:szCs w:val="22"/>
        </w:rPr>
        <w:t xml:space="preserve">The CMAs contain three pieces of information for each class of assets the WSIB currently invest in: </w:t>
      </w:r>
    </w:p>
    <w:p w14:paraId="61305AE6" w14:textId="77777777" w:rsidR="002247BF" w:rsidRPr="001D0F35" w:rsidRDefault="002247BF" w:rsidP="002247BF">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Expected annual return </w:t>
      </w:r>
    </w:p>
    <w:p w14:paraId="171C2171" w14:textId="77777777" w:rsidR="002247BF" w:rsidRPr="001D0F35" w:rsidRDefault="002247BF" w:rsidP="002247BF">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Standard deviation of the annual return </w:t>
      </w:r>
    </w:p>
    <w:p w14:paraId="2D3BB781" w14:textId="77777777" w:rsidR="002247BF" w:rsidRPr="001D0F35" w:rsidRDefault="002247BF" w:rsidP="002247BF">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Correlations between the annual returns of each asset class with every other asset class</w:t>
      </w:r>
    </w:p>
    <w:p w14:paraId="66FBA654" w14:textId="77777777" w:rsidR="002247BF" w:rsidRDefault="002247BF" w:rsidP="002247BF">
      <w:pPr>
        <w:autoSpaceDE w:val="0"/>
        <w:autoSpaceDN w:val="0"/>
        <w:adjustRightInd w:val="0"/>
        <w:spacing w:line="201" w:lineRule="atLeast"/>
        <w:rPr>
          <w:rFonts w:cs="Segoe UI"/>
          <w:szCs w:val="22"/>
        </w:rPr>
      </w:pPr>
    </w:p>
    <w:p w14:paraId="5F28D5E1" w14:textId="77777777" w:rsidR="002247BF" w:rsidRDefault="002247BF" w:rsidP="002247BF">
      <w:pPr>
        <w:autoSpaceDE w:val="0"/>
        <w:autoSpaceDN w:val="0"/>
        <w:adjustRightInd w:val="0"/>
        <w:spacing w:line="201" w:lineRule="atLeast"/>
        <w:rPr>
          <w:rFonts w:cs="Segoe UI"/>
          <w:szCs w:val="22"/>
        </w:rPr>
      </w:pPr>
      <w:r w:rsidRPr="001D0F35">
        <w:rPr>
          <w:rFonts w:cs="Segoe UI"/>
          <w:szCs w:val="22"/>
        </w:rPr>
        <w:lastRenderedPageBreak/>
        <w:t>WSIB uses the CMAs and their target asset allocation to simulate future investment returns over various time horizons.</w:t>
      </w:r>
    </w:p>
    <w:p w14:paraId="3CA2121F" w14:textId="77777777" w:rsidR="002247BF" w:rsidRDefault="002247BF" w:rsidP="002247BF">
      <w:pPr>
        <w:autoSpaceDE w:val="0"/>
        <w:autoSpaceDN w:val="0"/>
        <w:adjustRightInd w:val="0"/>
        <w:spacing w:line="201" w:lineRule="atLeast"/>
        <w:rPr>
          <w:rFonts w:cs="Segoe UI"/>
          <w:szCs w:val="22"/>
        </w:rPr>
      </w:pPr>
    </w:p>
    <w:p w14:paraId="309E12FE" w14:textId="77777777" w:rsidR="002247BF" w:rsidRPr="001D0F35" w:rsidRDefault="002247BF" w:rsidP="002247BF">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3B4B6B0C" w14:textId="77777777" w:rsidR="002247BF" w:rsidRPr="001D0F35" w:rsidRDefault="002247BF" w:rsidP="002247BF">
      <w:pPr>
        <w:rPr>
          <w:rFonts w:cs="Segoe UI"/>
          <w:szCs w:val="22"/>
        </w:rPr>
      </w:pPr>
    </w:p>
    <w:p w14:paraId="57567DDB" w14:textId="0325B30C" w:rsidR="002247BF" w:rsidRPr="001D0F35" w:rsidRDefault="002247BF" w:rsidP="002247BF">
      <w:pPr>
        <w:rPr>
          <w:rFonts w:cs="Segoe UI"/>
          <w:szCs w:val="22"/>
        </w:rPr>
      </w:pPr>
      <w:r w:rsidRPr="001D0F35">
        <w:rPr>
          <w:rFonts w:cs="Segoe UI"/>
          <w:szCs w:val="22"/>
        </w:rPr>
        <w:t>Best estimates of arithmetic real rates of return for each major asset class included in the pension plans’ target asset allocation as of June 30, 20</w:t>
      </w:r>
      <w:r>
        <w:rPr>
          <w:rFonts w:cs="Segoe UI"/>
          <w:szCs w:val="22"/>
        </w:rPr>
        <w:t>2</w:t>
      </w:r>
      <w:r w:rsidR="00B079B4">
        <w:rPr>
          <w:rFonts w:cs="Segoe UI"/>
          <w:szCs w:val="22"/>
        </w:rPr>
        <w:t>3</w:t>
      </w:r>
      <w:r w:rsidRPr="001D0F35">
        <w:rPr>
          <w:rFonts w:cs="Segoe UI"/>
          <w:szCs w:val="22"/>
        </w:rPr>
        <w:t xml:space="preserve">, are summarized in the following table: </w:t>
      </w:r>
    </w:p>
    <w:p w14:paraId="2C2713E0" w14:textId="77777777" w:rsidR="002247BF" w:rsidRPr="00241BC1" w:rsidRDefault="002247BF" w:rsidP="002247BF">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2247BF" w:rsidRPr="00911FA8" w14:paraId="0CBFF9BB" w14:textId="77777777" w:rsidTr="0009357B">
        <w:trPr>
          <w:trHeight w:val="159"/>
          <w:tblHeader/>
        </w:trPr>
        <w:tc>
          <w:tcPr>
            <w:tcW w:w="7591" w:type="dxa"/>
            <w:gridSpan w:val="3"/>
          </w:tcPr>
          <w:p w14:paraId="72323FA1" w14:textId="77777777" w:rsidR="002247BF" w:rsidRPr="00241BC1" w:rsidRDefault="002247BF" w:rsidP="0009357B">
            <w:pPr>
              <w:autoSpaceDE w:val="0"/>
              <w:autoSpaceDN w:val="0"/>
              <w:adjustRightInd w:val="0"/>
              <w:spacing w:line="241" w:lineRule="atLeast"/>
              <w:rPr>
                <w:rFonts w:cs="Arial"/>
                <w:szCs w:val="22"/>
              </w:rPr>
            </w:pPr>
            <w:r w:rsidRPr="00241BC1">
              <w:rPr>
                <w:rFonts w:cs="Arial"/>
                <w:bCs/>
                <w:szCs w:val="22"/>
              </w:rPr>
              <w:t>TRS 1, TRS 2/3, PERS 1, and SERS 2/3</w:t>
            </w:r>
          </w:p>
        </w:tc>
      </w:tr>
      <w:tr w:rsidR="002247BF" w:rsidRPr="00911FA8" w14:paraId="463C4588" w14:textId="77777777" w:rsidTr="0009357B">
        <w:trPr>
          <w:trHeight w:val="252"/>
          <w:tblHeader/>
        </w:trPr>
        <w:tc>
          <w:tcPr>
            <w:tcW w:w="2328" w:type="dxa"/>
          </w:tcPr>
          <w:p w14:paraId="3BDC2053" w14:textId="77777777" w:rsidR="002247BF" w:rsidRPr="00241BC1" w:rsidRDefault="002247BF" w:rsidP="0009357B">
            <w:pPr>
              <w:autoSpaceDE w:val="0"/>
              <w:autoSpaceDN w:val="0"/>
              <w:adjustRightInd w:val="0"/>
              <w:rPr>
                <w:rFonts w:cs="Arial"/>
                <w:szCs w:val="22"/>
              </w:rPr>
            </w:pPr>
            <w:r w:rsidRPr="00241BC1">
              <w:rPr>
                <w:rFonts w:cs="Arial"/>
                <w:bCs/>
                <w:szCs w:val="22"/>
              </w:rPr>
              <w:t>Asset Class</w:t>
            </w:r>
          </w:p>
        </w:tc>
        <w:tc>
          <w:tcPr>
            <w:tcW w:w="2631" w:type="dxa"/>
            <w:vAlign w:val="center"/>
          </w:tcPr>
          <w:p w14:paraId="06D0DC22" w14:textId="77777777" w:rsidR="002247BF" w:rsidRPr="00241BC1" w:rsidRDefault="002247BF" w:rsidP="0009357B">
            <w:pPr>
              <w:autoSpaceDE w:val="0"/>
              <w:autoSpaceDN w:val="0"/>
              <w:adjustRightInd w:val="0"/>
              <w:rPr>
                <w:rFonts w:cs="Arial"/>
                <w:szCs w:val="22"/>
              </w:rPr>
            </w:pPr>
            <w:r w:rsidRPr="00241BC1">
              <w:rPr>
                <w:rFonts w:cs="Arial"/>
                <w:szCs w:val="22"/>
              </w:rPr>
              <w:t xml:space="preserve">Target Allocation </w:t>
            </w:r>
          </w:p>
        </w:tc>
        <w:tc>
          <w:tcPr>
            <w:tcW w:w="2632" w:type="dxa"/>
            <w:vAlign w:val="center"/>
          </w:tcPr>
          <w:p w14:paraId="1599BEE0" w14:textId="77777777" w:rsidR="002247BF" w:rsidRPr="00241BC1" w:rsidRDefault="002247BF" w:rsidP="0009357B">
            <w:pPr>
              <w:autoSpaceDE w:val="0"/>
              <w:autoSpaceDN w:val="0"/>
              <w:adjustRightInd w:val="0"/>
              <w:rPr>
                <w:rFonts w:cs="Arial"/>
                <w:szCs w:val="22"/>
              </w:rPr>
            </w:pPr>
            <w:r w:rsidRPr="00241BC1">
              <w:rPr>
                <w:rFonts w:cs="Arial"/>
                <w:bCs/>
                <w:szCs w:val="22"/>
              </w:rPr>
              <w:t>% Long-term Expected Real Rate of Return</w:t>
            </w:r>
          </w:p>
        </w:tc>
      </w:tr>
      <w:tr w:rsidR="00B079B4" w:rsidRPr="00911FA8" w14:paraId="1B4F657A" w14:textId="77777777" w:rsidTr="0009357B">
        <w:trPr>
          <w:trHeight w:val="119"/>
          <w:tblHeader/>
        </w:trPr>
        <w:tc>
          <w:tcPr>
            <w:tcW w:w="2328" w:type="dxa"/>
          </w:tcPr>
          <w:p w14:paraId="1144480D" w14:textId="77777777" w:rsidR="00B079B4" w:rsidRPr="00241BC1" w:rsidRDefault="00B079B4" w:rsidP="00B079B4">
            <w:pPr>
              <w:autoSpaceDE w:val="0"/>
              <w:autoSpaceDN w:val="0"/>
              <w:adjustRightInd w:val="0"/>
              <w:spacing w:line="161" w:lineRule="atLeast"/>
              <w:rPr>
                <w:rFonts w:cs="Arial"/>
                <w:szCs w:val="22"/>
              </w:rPr>
            </w:pPr>
            <w:r w:rsidRPr="00241BC1">
              <w:rPr>
                <w:rFonts w:cs="Arial"/>
                <w:szCs w:val="22"/>
              </w:rPr>
              <w:t>Fixed Income</w:t>
            </w:r>
          </w:p>
        </w:tc>
        <w:tc>
          <w:tcPr>
            <w:tcW w:w="2631" w:type="dxa"/>
            <w:vAlign w:val="center"/>
          </w:tcPr>
          <w:p w14:paraId="038CE5CE" w14:textId="5C607AB8" w:rsidR="00B079B4" w:rsidRPr="00241BC1" w:rsidRDefault="00B079B4" w:rsidP="00B079B4">
            <w:pPr>
              <w:autoSpaceDE w:val="0"/>
              <w:autoSpaceDN w:val="0"/>
              <w:adjustRightInd w:val="0"/>
              <w:spacing w:line="161" w:lineRule="atLeast"/>
              <w:jc w:val="center"/>
              <w:rPr>
                <w:rFonts w:cs="Arial"/>
                <w:szCs w:val="22"/>
              </w:rPr>
            </w:pPr>
            <w:r>
              <w:rPr>
                <w:rFonts w:cs="Arial"/>
                <w:szCs w:val="22"/>
              </w:rPr>
              <w:t>19</w:t>
            </w:r>
            <w:r>
              <w:rPr>
                <w:rFonts w:cs="Arial"/>
                <w:szCs w:val="22"/>
              </w:rPr>
              <w:t>.00%</w:t>
            </w:r>
          </w:p>
        </w:tc>
        <w:tc>
          <w:tcPr>
            <w:tcW w:w="2632" w:type="dxa"/>
            <w:vAlign w:val="center"/>
          </w:tcPr>
          <w:p w14:paraId="4F58C376" w14:textId="0EE850DC" w:rsidR="00B079B4" w:rsidRPr="00241BC1" w:rsidRDefault="00B079B4" w:rsidP="00B079B4">
            <w:pPr>
              <w:autoSpaceDE w:val="0"/>
              <w:autoSpaceDN w:val="0"/>
              <w:adjustRightInd w:val="0"/>
              <w:spacing w:line="161" w:lineRule="atLeast"/>
              <w:jc w:val="center"/>
              <w:rPr>
                <w:rFonts w:cs="Arial"/>
                <w:szCs w:val="22"/>
              </w:rPr>
            </w:pPr>
            <w:r>
              <w:rPr>
                <w:rFonts w:cs="Arial"/>
                <w:szCs w:val="22"/>
              </w:rPr>
              <w:t>2.1</w:t>
            </w:r>
            <w:r>
              <w:rPr>
                <w:rFonts w:cs="Arial"/>
                <w:szCs w:val="22"/>
              </w:rPr>
              <w:t>0%</w:t>
            </w:r>
          </w:p>
        </w:tc>
      </w:tr>
      <w:tr w:rsidR="00B079B4" w:rsidRPr="00911FA8" w14:paraId="23240BF5" w14:textId="77777777" w:rsidTr="0009357B">
        <w:trPr>
          <w:trHeight w:val="119"/>
          <w:tblHeader/>
        </w:trPr>
        <w:tc>
          <w:tcPr>
            <w:tcW w:w="2328" w:type="dxa"/>
          </w:tcPr>
          <w:p w14:paraId="4FF4CA78" w14:textId="77777777" w:rsidR="00B079B4" w:rsidRPr="00241BC1" w:rsidRDefault="00B079B4" w:rsidP="00B079B4">
            <w:pPr>
              <w:autoSpaceDE w:val="0"/>
              <w:autoSpaceDN w:val="0"/>
              <w:adjustRightInd w:val="0"/>
              <w:spacing w:line="161" w:lineRule="atLeast"/>
              <w:rPr>
                <w:rFonts w:cs="Arial"/>
                <w:szCs w:val="22"/>
              </w:rPr>
            </w:pPr>
            <w:r w:rsidRPr="00241BC1">
              <w:rPr>
                <w:rFonts w:cs="Arial"/>
                <w:szCs w:val="22"/>
              </w:rPr>
              <w:t>Tangible Assets</w:t>
            </w:r>
          </w:p>
        </w:tc>
        <w:tc>
          <w:tcPr>
            <w:tcW w:w="2631" w:type="dxa"/>
            <w:vAlign w:val="center"/>
          </w:tcPr>
          <w:p w14:paraId="7D082C91" w14:textId="2B01C7CC" w:rsidR="00B079B4" w:rsidRPr="00241BC1" w:rsidRDefault="00B079B4" w:rsidP="00B079B4">
            <w:pPr>
              <w:autoSpaceDE w:val="0"/>
              <w:autoSpaceDN w:val="0"/>
              <w:adjustRightInd w:val="0"/>
              <w:spacing w:line="161" w:lineRule="atLeast"/>
              <w:jc w:val="center"/>
              <w:rPr>
                <w:rFonts w:cs="Arial"/>
                <w:szCs w:val="22"/>
              </w:rPr>
            </w:pPr>
            <w:r>
              <w:rPr>
                <w:rFonts w:cs="Arial"/>
                <w:szCs w:val="22"/>
              </w:rPr>
              <w:t>8</w:t>
            </w:r>
            <w:r>
              <w:rPr>
                <w:rFonts w:cs="Arial"/>
                <w:szCs w:val="22"/>
              </w:rPr>
              <w:t>.00%</w:t>
            </w:r>
          </w:p>
        </w:tc>
        <w:tc>
          <w:tcPr>
            <w:tcW w:w="2632" w:type="dxa"/>
            <w:vAlign w:val="center"/>
          </w:tcPr>
          <w:p w14:paraId="3DA2A1C0" w14:textId="363690B8" w:rsidR="00B079B4" w:rsidRPr="00241BC1" w:rsidRDefault="00B079B4" w:rsidP="00B079B4">
            <w:pPr>
              <w:autoSpaceDE w:val="0"/>
              <w:autoSpaceDN w:val="0"/>
              <w:adjustRightInd w:val="0"/>
              <w:spacing w:line="161" w:lineRule="atLeast"/>
              <w:jc w:val="center"/>
              <w:rPr>
                <w:rFonts w:cs="Arial"/>
                <w:szCs w:val="22"/>
              </w:rPr>
            </w:pPr>
            <w:r>
              <w:rPr>
                <w:rFonts w:cs="Arial"/>
                <w:szCs w:val="22"/>
              </w:rPr>
              <w:t>4.</w:t>
            </w:r>
            <w:r>
              <w:rPr>
                <w:rFonts w:cs="Arial"/>
                <w:szCs w:val="22"/>
              </w:rPr>
              <w:t>5</w:t>
            </w:r>
            <w:r>
              <w:rPr>
                <w:rFonts w:cs="Arial"/>
                <w:szCs w:val="22"/>
              </w:rPr>
              <w:t>0%</w:t>
            </w:r>
          </w:p>
        </w:tc>
      </w:tr>
      <w:tr w:rsidR="00B079B4" w:rsidRPr="00911FA8" w14:paraId="1F35A30F" w14:textId="77777777" w:rsidTr="0009357B">
        <w:trPr>
          <w:trHeight w:val="119"/>
          <w:tblHeader/>
        </w:trPr>
        <w:tc>
          <w:tcPr>
            <w:tcW w:w="2328" w:type="dxa"/>
          </w:tcPr>
          <w:p w14:paraId="38EB7B3D" w14:textId="77777777" w:rsidR="00B079B4" w:rsidRPr="00241BC1" w:rsidRDefault="00B079B4" w:rsidP="00B079B4">
            <w:pPr>
              <w:autoSpaceDE w:val="0"/>
              <w:autoSpaceDN w:val="0"/>
              <w:adjustRightInd w:val="0"/>
              <w:spacing w:line="161" w:lineRule="atLeast"/>
              <w:rPr>
                <w:rFonts w:cs="Arial"/>
                <w:szCs w:val="22"/>
              </w:rPr>
            </w:pPr>
            <w:r w:rsidRPr="00241BC1">
              <w:rPr>
                <w:rFonts w:cs="Arial"/>
                <w:szCs w:val="22"/>
              </w:rPr>
              <w:t>Real Estate</w:t>
            </w:r>
          </w:p>
        </w:tc>
        <w:tc>
          <w:tcPr>
            <w:tcW w:w="2631" w:type="dxa"/>
            <w:vAlign w:val="center"/>
          </w:tcPr>
          <w:p w14:paraId="3CE3A6B5" w14:textId="4DFC7AE3" w:rsidR="00B079B4" w:rsidRPr="00241BC1" w:rsidRDefault="00B079B4" w:rsidP="00B079B4">
            <w:pPr>
              <w:autoSpaceDE w:val="0"/>
              <w:autoSpaceDN w:val="0"/>
              <w:adjustRightInd w:val="0"/>
              <w:spacing w:line="161" w:lineRule="atLeast"/>
              <w:jc w:val="center"/>
              <w:rPr>
                <w:rFonts w:cs="Arial"/>
                <w:szCs w:val="22"/>
              </w:rPr>
            </w:pPr>
            <w:r>
              <w:rPr>
                <w:rFonts w:cs="Arial"/>
                <w:szCs w:val="22"/>
              </w:rPr>
              <w:t>18.00%</w:t>
            </w:r>
          </w:p>
        </w:tc>
        <w:tc>
          <w:tcPr>
            <w:tcW w:w="2632" w:type="dxa"/>
            <w:vAlign w:val="center"/>
          </w:tcPr>
          <w:p w14:paraId="047F358A" w14:textId="0C661E46" w:rsidR="00B079B4" w:rsidRPr="00241BC1" w:rsidRDefault="00B079B4" w:rsidP="00B079B4">
            <w:pPr>
              <w:autoSpaceDE w:val="0"/>
              <w:autoSpaceDN w:val="0"/>
              <w:adjustRightInd w:val="0"/>
              <w:spacing w:line="161" w:lineRule="atLeast"/>
              <w:jc w:val="center"/>
              <w:rPr>
                <w:rFonts w:cs="Arial"/>
                <w:szCs w:val="22"/>
              </w:rPr>
            </w:pPr>
            <w:r>
              <w:rPr>
                <w:rFonts w:cs="Arial"/>
                <w:szCs w:val="22"/>
              </w:rPr>
              <w:t>4.8</w:t>
            </w:r>
            <w:r>
              <w:rPr>
                <w:rFonts w:cs="Arial"/>
                <w:szCs w:val="22"/>
              </w:rPr>
              <w:t>0%</w:t>
            </w:r>
          </w:p>
        </w:tc>
      </w:tr>
      <w:tr w:rsidR="00B079B4" w:rsidRPr="00911FA8" w14:paraId="18CFE046" w14:textId="77777777" w:rsidTr="0009357B">
        <w:trPr>
          <w:trHeight w:val="119"/>
          <w:tblHeader/>
        </w:trPr>
        <w:tc>
          <w:tcPr>
            <w:tcW w:w="2328" w:type="dxa"/>
          </w:tcPr>
          <w:p w14:paraId="67BD4B91" w14:textId="77777777" w:rsidR="00B079B4" w:rsidRPr="00241BC1" w:rsidRDefault="00B079B4" w:rsidP="00B079B4">
            <w:pPr>
              <w:autoSpaceDE w:val="0"/>
              <w:autoSpaceDN w:val="0"/>
              <w:adjustRightInd w:val="0"/>
              <w:spacing w:line="161" w:lineRule="atLeast"/>
              <w:rPr>
                <w:rFonts w:cs="Arial"/>
                <w:szCs w:val="22"/>
              </w:rPr>
            </w:pPr>
            <w:r w:rsidRPr="00241BC1">
              <w:rPr>
                <w:rFonts w:cs="Arial"/>
                <w:szCs w:val="22"/>
              </w:rPr>
              <w:t>Global Equity</w:t>
            </w:r>
          </w:p>
        </w:tc>
        <w:tc>
          <w:tcPr>
            <w:tcW w:w="2631" w:type="dxa"/>
            <w:vAlign w:val="center"/>
          </w:tcPr>
          <w:p w14:paraId="6408E0B3" w14:textId="55C40752" w:rsidR="00B079B4" w:rsidRPr="00241BC1" w:rsidRDefault="00B079B4" w:rsidP="00B079B4">
            <w:pPr>
              <w:autoSpaceDE w:val="0"/>
              <w:autoSpaceDN w:val="0"/>
              <w:adjustRightInd w:val="0"/>
              <w:spacing w:line="161" w:lineRule="atLeast"/>
              <w:jc w:val="center"/>
              <w:rPr>
                <w:rFonts w:cs="Arial"/>
                <w:szCs w:val="22"/>
              </w:rPr>
            </w:pPr>
            <w:r>
              <w:rPr>
                <w:rFonts w:cs="Arial"/>
                <w:szCs w:val="22"/>
              </w:rPr>
              <w:t>3</w:t>
            </w:r>
            <w:r>
              <w:rPr>
                <w:rFonts w:cs="Arial"/>
                <w:szCs w:val="22"/>
              </w:rPr>
              <w:t>0</w:t>
            </w:r>
            <w:r>
              <w:rPr>
                <w:rFonts w:cs="Arial"/>
                <w:szCs w:val="22"/>
              </w:rPr>
              <w:t>.00%</w:t>
            </w:r>
          </w:p>
        </w:tc>
        <w:tc>
          <w:tcPr>
            <w:tcW w:w="2632" w:type="dxa"/>
            <w:vAlign w:val="center"/>
          </w:tcPr>
          <w:p w14:paraId="43A129DD" w14:textId="4A01A5F8" w:rsidR="00B079B4" w:rsidRPr="00241BC1" w:rsidRDefault="00B079B4" w:rsidP="00B079B4">
            <w:pPr>
              <w:autoSpaceDE w:val="0"/>
              <w:autoSpaceDN w:val="0"/>
              <w:adjustRightInd w:val="0"/>
              <w:spacing w:line="161" w:lineRule="atLeast"/>
              <w:jc w:val="center"/>
              <w:rPr>
                <w:rFonts w:cs="Arial"/>
                <w:szCs w:val="22"/>
              </w:rPr>
            </w:pPr>
            <w:r>
              <w:rPr>
                <w:rFonts w:cs="Arial"/>
                <w:szCs w:val="22"/>
              </w:rPr>
              <w:t>5.</w:t>
            </w:r>
            <w:r>
              <w:rPr>
                <w:rFonts w:cs="Arial"/>
                <w:szCs w:val="22"/>
              </w:rPr>
              <w:t>6</w:t>
            </w:r>
            <w:r>
              <w:rPr>
                <w:rFonts w:cs="Arial"/>
                <w:szCs w:val="22"/>
              </w:rPr>
              <w:t>0%</w:t>
            </w:r>
          </w:p>
        </w:tc>
      </w:tr>
      <w:tr w:rsidR="00B079B4" w:rsidRPr="00911FA8" w14:paraId="4E65EB44" w14:textId="77777777" w:rsidTr="0009357B">
        <w:trPr>
          <w:trHeight w:val="119"/>
          <w:tblHeader/>
        </w:trPr>
        <w:tc>
          <w:tcPr>
            <w:tcW w:w="2328" w:type="dxa"/>
          </w:tcPr>
          <w:p w14:paraId="79DBA0DD" w14:textId="77777777" w:rsidR="00B079B4" w:rsidRPr="00241BC1" w:rsidRDefault="00B079B4" w:rsidP="00B079B4">
            <w:pPr>
              <w:autoSpaceDE w:val="0"/>
              <w:autoSpaceDN w:val="0"/>
              <w:adjustRightInd w:val="0"/>
              <w:spacing w:line="161" w:lineRule="atLeast"/>
              <w:rPr>
                <w:rFonts w:cs="Arial"/>
                <w:szCs w:val="22"/>
              </w:rPr>
            </w:pPr>
            <w:r w:rsidRPr="00241BC1">
              <w:rPr>
                <w:rFonts w:cs="Arial"/>
                <w:szCs w:val="22"/>
              </w:rPr>
              <w:t>Private Equity</w:t>
            </w:r>
          </w:p>
        </w:tc>
        <w:tc>
          <w:tcPr>
            <w:tcW w:w="2631" w:type="dxa"/>
            <w:vAlign w:val="center"/>
          </w:tcPr>
          <w:p w14:paraId="79B72A67" w14:textId="56A8EFFC" w:rsidR="00B079B4" w:rsidRPr="00241BC1" w:rsidRDefault="00B079B4" w:rsidP="00B079B4">
            <w:pPr>
              <w:autoSpaceDE w:val="0"/>
              <w:autoSpaceDN w:val="0"/>
              <w:adjustRightInd w:val="0"/>
              <w:spacing w:line="161" w:lineRule="atLeast"/>
              <w:jc w:val="center"/>
              <w:rPr>
                <w:rFonts w:cs="Arial"/>
                <w:szCs w:val="22"/>
              </w:rPr>
            </w:pPr>
            <w:r>
              <w:rPr>
                <w:rFonts w:cs="Arial"/>
                <w:szCs w:val="22"/>
              </w:rPr>
              <w:t>2</w:t>
            </w:r>
            <w:r>
              <w:rPr>
                <w:rFonts w:cs="Arial"/>
                <w:szCs w:val="22"/>
              </w:rPr>
              <w:t>5</w:t>
            </w:r>
            <w:r>
              <w:rPr>
                <w:rFonts w:cs="Arial"/>
                <w:szCs w:val="22"/>
              </w:rPr>
              <w:t>.00%</w:t>
            </w:r>
          </w:p>
        </w:tc>
        <w:tc>
          <w:tcPr>
            <w:tcW w:w="2632" w:type="dxa"/>
            <w:vAlign w:val="center"/>
          </w:tcPr>
          <w:p w14:paraId="02E2B5D2" w14:textId="5EC30C17" w:rsidR="00B079B4" w:rsidRPr="00241BC1" w:rsidRDefault="00B079B4" w:rsidP="00B079B4">
            <w:pPr>
              <w:autoSpaceDE w:val="0"/>
              <w:autoSpaceDN w:val="0"/>
              <w:adjustRightInd w:val="0"/>
              <w:spacing w:line="161" w:lineRule="atLeast"/>
              <w:jc w:val="center"/>
              <w:rPr>
                <w:rFonts w:cs="Arial"/>
                <w:szCs w:val="22"/>
              </w:rPr>
            </w:pPr>
            <w:r>
              <w:rPr>
                <w:rFonts w:cs="Arial"/>
                <w:szCs w:val="22"/>
              </w:rPr>
              <w:t>8.</w:t>
            </w:r>
            <w:r>
              <w:rPr>
                <w:rFonts w:cs="Arial"/>
                <w:szCs w:val="22"/>
              </w:rPr>
              <w:t>6</w:t>
            </w:r>
            <w:r>
              <w:rPr>
                <w:rFonts w:cs="Arial"/>
                <w:szCs w:val="22"/>
              </w:rPr>
              <w:t>0%</w:t>
            </w:r>
          </w:p>
        </w:tc>
      </w:tr>
    </w:tbl>
    <w:p w14:paraId="36FF6F77" w14:textId="77777777" w:rsidR="002247BF" w:rsidRPr="00241BC1" w:rsidRDefault="002247BF" w:rsidP="002247BF">
      <w:pPr>
        <w:autoSpaceDE w:val="0"/>
        <w:autoSpaceDN w:val="0"/>
        <w:adjustRightInd w:val="0"/>
        <w:spacing w:line="201" w:lineRule="atLeast"/>
        <w:rPr>
          <w:rFonts w:cs="Arial"/>
          <w:szCs w:val="22"/>
        </w:rPr>
      </w:pPr>
    </w:p>
    <w:p w14:paraId="0063F7F5" w14:textId="71DD67F9" w:rsidR="002247BF" w:rsidRPr="00241BC1" w:rsidRDefault="002247BF" w:rsidP="002247BF">
      <w:pPr>
        <w:autoSpaceDE w:val="0"/>
        <w:autoSpaceDN w:val="0"/>
        <w:adjustRightInd w:val="0"/>
        <w:spacing w:line="201" w:lineRule="atLeast"/>
        <w:rPr>
          <w:rFonts w:cs="Arial"/>
          <w:szCs w:val="22"/>
        </w:rPr>
      </w:pPr>
      <w:r w:rsidRPr="00241BC1">
        <w:rPr>
          <w:rFonts w:cs="Arial"/>
          <w:szCs w:val="22"/>
        </w:rPr>
        <w:t>The inflation component used to create the above table</w:t>
      </w:r>
      <w:r>
        <w:rPr>
          <w:rFonts w:cs="Arial"/>
          <w:szCs w:val="22"/>
        </w:rPr>
        <w:t xml:space="preserve"> was</w:t>
      </w:r>
      <w:r w:rsidRPr="00241BC1">
        <w:rPr>
          <w:rFonts w:cs="Arial"/>
          <w:szCs w:val="22"/>
        </w:rPr>
        <w:t xml:space="preserve"> </w:t>
      </w:r>
      <w:r>
        <w:rPr>
          <w:rFonts w:cs="Arial"/>
          <w:szCs w:val="22"/>
        </w:rPr>
        <w:t>2.</w:t>
      </w:r>
      <w:r w:rsidR="00557516">
        <w:rPr>
          <w:rFonts w:cs="Arial"/>
          <w:szCs w:val="22"/>
        </w:rPr>
        <w:t>5</w:t>
      </w:r>
      <w:r w:rsidR="00557516">
        <w:rPr>
          <w:rFonts w:cs="Arial"/>
          <w:szCs w:val="22"/>
        </w:rPr>
        <w:t>0</w:t>
      </w:r>
      <w:r>
        <w:rPr>
          <w:rFonts w:cs="Arial"/>
          <w:szCs w:val="22"/>
        </w:rPr>
        <w:t>%</w:t>
      </w:r>
      <w:r w:rsidRPr="00241BC1">
        <w:rPr>
          <w:rFonts w:cs="Arial"/>
          <w:szCs w:val="22"/>
        </w:rPr>
        <w:t xml:space="preserve"> and represents WSIB’s long-term estimate of broad economic inflation</w:t>
      </w:r>
      <w:r>
        <w:rPr>
          <w:rFonts w:cs="Arial"/>
          <w:szCs w:val="22"/>
        </w:rPr>
        <w:t xml:space="preserve"> consistent with their 202</w:t>
      </w:r>
      <w:r w:rsidR="00B079B4">
        <w:rPr>
          <w:rFonts w:cs="Arial"/>
          <w:szCs w:val="22"/>
        </w:rPr>
        <w:t>3</w:t>
      </w:r>
      <w:r>
        <w:rPr>
          <w:rFonts w:cs="Arial"/>
          <w:szCs w:val="22"/>
        </w:rPr>
        <w:t xml:space="preserve"> CMAs</w:t>
      </w:r>
      <w:r w:rsidRPr="00241BC1">
        <w:rPr>
          <w:rFonts w:cs="Arial"/>
          <w:szCs w:val="22"/>
        </w:rPr>
        <w:t>.</w:t>
      </w:r>
    </w:p>
    <w:p w14:paraId="162C2FAC" w14:textId="77777777" w:rsidR="002247BF" w:rsidRPr="00241BC1" w:rsidRDefault="002247BF" w:rsidP="002247BF">
      <w:pPr>
        <w:rPr>
          <w:rFonts w:cs="Arial"/>
          <w:b/>
          <w:szCs w:val="22"/>
        </w:rPr>
      </w:pPr>
    </w:p>
    <w:p w14:paraId="382D9FC5" w14:textId="77777777" w:rsidR="002247BF" w:rsidRDefault="002247BF" w:rsidP="002247BF">
      <w:pPr>
        <w:pStyle w:val="Heading4"/>
        <w:ind w:left="0"/>
      </w:pPr>
      <w:r w:rsidRPr="001D0F35">
        <w:t xml:space="preserve">Discount Rate </w:t>
      </w:r>
    </w:p>
    <w:p w14:paraId="495718F2" w14:textId="77777777" w:rsidR="002247BF" w:rsidRDefault="002247BF" w:rsidP="002247BF">
      <w:pPr>
        <w:rPr>
          <w:rFonts w:cs="Segoe UI"/>
          <w:szCs w:val="22"/>
        </w:rPr>
      </w:pPr>
      <w:r w:rsidRPr="001D0F35">
        <w:rPr>
          <w:rFonts w:eastAsiaTheme="minorHAnsi" w:cs="Segoe UI"/>
          <w:szCs w:val="22"/>
        </w:rPr>
        <w:t xml:space="preserve">The discount rate used to measure the total pension liability was </w:t>
      </w:r>
      <w:r>
        <w:rPr>
          <w:rFonts w:eastAsiaTheme="minorHAnsi" w:cs="Segoe UI"/>
          <w:szCs w:val="22"/>
        </w:rPr>
        <w:t>7.00%</w:t>
      </w:r>
      <w:r w:rsidRPr="001D0F35">
        <w:rPr>
          <w:rFonts w:eastAsiaTheme="minorHAnsi" w:cs="Segoe UI"/>
          <w:szCs w:val="22"/>
        </w:rPr>
        <w:t>.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2D64D9CD" w14:textId="77777777" w:rsidR="002247BF" w:rsidRDefault="002247BF" w:rsidP="002247BF">
      <w:pPr>
        <w:rPr>
          <w:rFonts w:cs="Segoe UI"/>
          <w:szCs w:val="22"/>
        </w:rPr>
      </w:pPr>
    </w:p>
    <w:p w14:paraId="110457CE" w14:textId="77777777" w:rsidR="002247BF" w:rsidRPr="001D0F35" w:rsidRDefault="002247BF" w:rsidP="002247BF">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sidRPr="001D0F35">
        <w:rPr>
          <w:rFonts w:eastAsiaTheme="minorHAnsi" w:cs="Segoe UI"/>
          <w:szCs w:val="22"/>
        </w:rPr>
        <w:t xml:space="preserve">the long-term expected rate of return, a </w:t>
      </w:r>
      <w:r>
        <w:rPr>
          <w:rFonts w:eastAsiaTheme="minorHAnsi" w:cs="Segoe UI"/>
          <w:szCs w:val="22"/>
        </w:rPr>
        <w:t>7.00%</w:t>
      </w:r>
      <w:r w:rsidRPr="001D0F35">
        <w:rPr>
          <w:rFonts w:eastAsiaTheme="minorHAnsi" w:cs="Segoe UI"/>
          <w:szCs w:val="22"/>
        </w:rPr>
        <w:t xml:space="preserve"> </w:t>
      </w:r>
      <w:r>
        <w:rPr>
          <w:rFonts w:cs="Segoe UI"/>
          <w:szCs w:val="22"/>
        </w:rPr>
        <w:t xml:space="preserve">on pension plan </w:t>
      </w:r>
      <w:r w:rsidRPr="001D0F35">
        <w:rPr>
          <w:rFonts w:eastAsiaTheme="minorHAnsi" w:cs="Segoe UI"/>
          <w:szCs w:val="22"/>
        </w:rPr>
        <w:t>investment</w:t>
      </w:r>
      <w:r>
        <w:rPr>
          <w:rFonts w:cs="Segoe UI"/>
          <w:szCs w:val="22"/>
        </w:rPr>
        <w:t xml:space="preserve">s was applied to determine the total pension liability </w:t>
      </w:r>
      <w:r w:rsidRPr="006A1FC4">
        <w:rPr>
          <w:rFonts w:cs="Segoe UI"/>
          <w:szCs w:val="22"/>
        </w:rPr>
        <w:t xml:space="preserve">or </w:t>
      </w:r>
      <w:r w:rsidRPr="006A1FC4">
        <w:rPr>
          <w:rFonts w:eastAsiaTheme="minorHAnsi" w:cs="Segoe UI"/>
          <w:szCs w:val="22"/>
        </w:rPr>
        <w:t>(asset).</w:t>
      </w:r>
    </w:p>
    <w:p w14:paraId="6EA93481" w14:textId="77777777" w:rsidR="002247BF" w:rsidRPr="00241BC1" w:rsidRDefault="002247BF" w:rsidP="002247BF">
      <w:pPr>
        <w:rPr>
          <w:rFonts w:cs="Arial"/>
          <w:szCs w:val="22"/>
          <w:u w:val="single"/>
        </w:rPr>
      </w:pPr>
    </w:p>
    <w:p w14:paraId="6C501B51" w14:textId="77777777" w:rsidR="002247BF" w:rsidRPr="00241BC1" w:rsidRDefault="002247BF" w:rsidP="002247BF">
      <w:pPr>
        <w:pStyle w:val="Heading2"/>
        <w:rPr>
          <w:bCs/>
        </w:rPr>
      </w:pPr>
      <w:r w:rsidRPr="00241BC1">
        <w:rPr>
          <w:bCs/>
        </w:rPr>
        <w:t>Sensitivity of the Net Pension Liability</w:t>
      </w:r>
      <w:r>
        <w:rPr>
          <w:bCs/>
        </w:rPr>
        <w:t xml:space="preserve"> (Asset)</w:t>
      </w:r>
      <w:r w:rsidRPr="00241BC1">
        <w:rPr>
          <w:bCs/>
        </w:rPr>
        <w:t xml:space="preserve"> </w:t>
      </w:r>
    </w:p>
    <w:p w14:paraId="5834E657" w14:textId="77777777" w:rsidR="002247BF" w:rsidRPr="00241BC1" w:rsidRDefault="002247BF" w:rsidP="002247BF">
      <w:pPr>
        <w:rPr>
          <w:rFonts w:cs="Arial"/>
          <w:szCs w:val="22"/>
        </w:rPr>
      </w:pPr>
    </w:p>
    <w:p w14:paraId="00757173" w14:textId="77777777" w:rsidR="002247BF" w:rsidRPr="00241BC1" w:rsidRDefault="002247BF" w:rsidP="002247BF">
      <w:pPr>
        <w:rPr>
          <w:rFonts w:cs="Arial"/>
          <w:szCs w:val="22"/>
        </w:rPr>
      </w:pPr>
      <w:r w:rsidRPr="00241BC1">
        <w:rPr>
          <w:rFonts w:cs="Arial"/>
          <w:szCs w:val="22"/>
        </w:rPr>
        <w:t xml:space="preserve">The following table presents the ____________ School District’s proportionate share of the collective net pension liability </w:t>
      </w:r>
      <w:r>
        <w:rPr>
          <w:rFonts w:cs="Arial"/>
          <w:szCs w:val="22"/>
        </w:rPr>
        <w:t>or asset</w:t>
      </w:r>
      <w:r w:rsidRPr="00241BC1">
        <w:rPr>
          <w:rFonts w:cs="Arial"/>
          <w:szCs w:val="22"/>
        </w:rPr>
        <w:t xml:space="preserve"> calculated using the discount rate of </w:t>
      </w:r>
      <w:r>
        <w:rPr>
          <w:rFonts w:cs="Arial"/>
          <w:szCs w:val="22"/>
        </w:rPr>
        <w:t>7.00%</w:t>
      </w:r>
      <w:r w:rsidRPr="00241BC1">
        <w:rPr>
          <w:rFonts w:cs="Arial"/>
          <w:szCs w:val="22"/>
        </w:rPr>
        <w:t xml:space="preserve">, as well as what the net pension liability </w:t>
      </w:r>
      <w:r>
        <w:rPr>
          <w:rFonts w:cs="Arial"/>
          <w:szCs w:val="22"/>
        </w:rPr>
        <w:t xml:space="preserve">or asset </w:t>
      </w:r>
      <w:r w:rsidRPr="00241BC1">
        <w:rPr>
          <w:rFonts w:cs="Arial"/>
          <w:szCs w:val="22"/>
        </w:rPr>
        <w:t xml:space="preserve">would be if it were calculated using a discount rate that is </w:t>
      </w:r>
      <w:r>
        <w:rPr>
          <w:rFonts w:cs="Arial"/>
          <w:szCs w:val="22"/>
        </w:rPr>
        <w:t>1</w:t>
      </w:r>
      <w:r w:rsidRPr="00241BC1">
        <w:rPr>
          <w:rFonts w:cs="Arial"/>
          <w:szCs w:val="22"/>
        </w:rPr>
        <w:t xml:space="preserve"> percentage-point lower (</w:t>
      </w:r>
      <w:r>
        <w:rPr>
          <w:rFonts w:cs="Arial"/>
          <w:szCs w:val="22"/>
        </w:rPr>
        <w:t>6.00%</w:t>
      </w:r>
      <w:r w:rsidRPr="00241BC1">
        <w:rPr>
          <w:rFonts w:cs="Arial"/>
          <w:szCs w:val="22"/>
        </w:rPr>
        <w:t xml:space="preserve">) or </w:t>
      </w:r>
      <w:r>
        <w:rPr>
          <w:rFonts w:cs="Arial"/>
          <w:szCs w:val="22"/>
        </w:rPr>
        <w:t>1</w:t>
      </w:r>
      <w:r w:rsidRPr="00241BC1">
        <w:rPr>
          <w:rFonts w:cs="Arial"/>
          <w:szCs w:val="22"/>
        </w:rPr>
        <w:t xml:space="preserve"> percentage-point higher (</w:t>
      </w:r>
      <w:r>
        <w:rPr>
          <w:rFonts w:cs="Arial"/>
          <w:szCs w:val="22"/>
        </w:rPr>
        <w:t>8.00%</w:t>
      </w:r>
      <w:r w:rsidRPr="00241BC1">
        <w:rPr>
          <w:rFonts w:cs="Arial"/>
          <w:szCs w:val="22"/>
        </w:rPr>
        <w:t>) than the current rate. Amounts are calculated using the school district’s specific allocation percentage, by plan, to determine the proportionate share of the collective net pension liability</w:t>
      </w:r>
      <w:r>
        <w:rPr>
          <w:rFonts w:cs="Arial"/>
          <w:szCs w:val="22"/>
        </w:rPr>
        <w:t xml:space="preserve"> or asset</w:t>
      </w:r>
      <w:r w:rsidRPr="00241BC1">
        <w:rPr>
          <w:rFonts w:cs="Arial"/>
          <w:szCs w:val="22"/>
        </w:rPr>
        <w:t>.</w:t>
      </w:r>
    </w:p>
    <w:p w14:paraId="348DF416" w14:textId="77777777" w:rsidR="002247BF" w:rsidRPr="00241BC1" w:rsidRDefault="002247BF" w:rsidP="002247BF">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2247BF" w:rsidRPr="00911FA8" w14:paraId="720F8E53" w14:textId="77777777" w:rsidTr="0009357B">
        <w:trPr>
          <w:cantSplit/>
          <w:trHeight w:val="611"/>
          <w:tblHeader/>
        </w:trPr>
        <w:tc>
          <w:tcPr>
            <w:tcW w:w="9350" w:type="dxa"/>
            <w:gridSpan w:val="4"/>
            <w:shd w:val="clear" w:color="auto" w:fill="D9D9D9" w:themeFill="background1" w:themeFillShade="D9"/>
            <w:vAlign w:val="center"/>
          </w:tcPr>
          <w:p w14:paraId="44D9C962" w14:textId="77777777" w:rsidR="002247BF" w:rsidRPr="00441365" w:rsidRDefault="002247BF" w:rsidP="0009357B">
            <w:pPr>
              <w:pStyle w:val="Heading2"/>
              <w:jc w:val="center"/>
              <w:rPr>
                <w:bCs/>
              </w:rPr>
            </w:pPr>
            <w:r w:rsidRPr="00241BC1">
              <w:rPr>
                <w:bCs/>
              </w:rPr>
              <w:lastRenderedPageBreak/>
              <w:t>Sensitivity of the Net Pension Liability</w:t>
            </w:r>
            <w:r>
              <w:rPr>
                <w:bCs/>
              </w:rPr>
              <w:t xml:space="preserve"> or Asset </w:t>
            </w:r>
            <w:r w:rsidRPr="00241BC1">
              <w:rPr>
                <w:bCs/>
              </w:rPr>
              <w:t>to Changes in the Discount Rate</w:t>
            </w:r>
          </w:p>
        </w:tc>
      </w:tr>
      <w:tr w:rsidR="002247BF" w:rsidRPr="00911FA8" w14:paraId="7ADAA00D" w14:textId="77777777" w:rsidTr="0009357B">
        <w:trPr>
          <w:cantSplit/>
          <w:trHeight w:val="611"/>
          <w:tblHeader/>
        </w:trPr>
        <w:tc>
          <w:tcPr>
            <w:tcW w:w="2367" w:type="dxa"/>
            <w:vAlign w:val="center"/>
          </w:tcPr>
          <w:p w14:paraId="59D406E1" w14:textId="77777777" w:rsidR="002247BF" w:rsidRPr="00241BC1" w:rsidRDefault="002247BF" w:rsidP="0009357B">
            <w:pPr>
              <w:rPr>
                <w:rFonts w:cs="Arial"/>
                <w:szCs w:val="22"/>
              </w:rPr>
            </w:pPr>
          </w:p>
        </w:tc>
        <w:tc>
          <w:tcPr>
            <w:tcW w:w="2330" w:type="dxa"/>
            <w:vAlign w:val="center"/>
          </w:tcPr>
          <w:p w14:paraId="3618C1FA" w14:textId="77777777" w:rsidR="002247BF" w:rsidRPr="00241BC1" w:rsidRDefault="002247BF" w:rsidP="0009357B">
            <w:pPr>
              <w:jc w:val="center"/>
              <w:rPr>
                <w:rFonts w:cs="Arial"/>
                <w:szCs w:val="22"/>
              </w:rPr>
            </w:pPr>
            <w:r w:rsidRPr="00241BC1">
              <w:rPr>
                <w:rFonts w:cs="Arial"/>
                <w:bCs/>
                <w:szCs w:val="22"/>
              </w:rPr>
              <w:t>1% Decrease (</w:t>
            </w:r>
            <w:r>
              <w:rPr>
                <w:rFonts w:cs="Arial"/>
                <w:bCs/>
                <w:szCs w:val="22"/>
              </w:rPr>
              <w:t>6.00</w:t>
            </w:r>
            <w:r w:rsidRPr="00241BC1">
              <w:rPr>
                <w:rFonts w:cs="Arial"/>
                <w:bCs/>
                <w:szCs w:val="22"/>
              </w:rPr>
              <w:t>%)</w:t>
            </w:r>
          </w:p>
        </w:tc>
        <w:tc>
          <w:tcPr>
            <w:tcW w:w="2328" w:type="dxa"/>
            <w:vAlign w:val="center"/>
          </w:tcPr>
          <w:p w14:paraId="6ED65E4C" w14:textId="77777777" w:rsidR="002247BF" w:rsidRPr="00241BC1" w:rsidRDefault="002247BF" w:rsidP="0009357B">
            <w:pPr>
              <w:jc w:val="center"/>
              <w:rPr>
                <w:rFonts w:cs="Arial"/>
                <w:szCs w:val="22"/>
              </w:rPr>
            </w:pPr>
            <w:r w:rsidRPr="00241BC1">
              <w:rPr>
                <w:rFonts w:cs="Arial"/>
                <w:bCs/>
                <w:szCs w:val="22"/>
              </w:rPr>
              <w:t>Current Discount Rate (</w:t>
            </w:r>
            <w:r>
              <w:rPr>
                <w:rFonts w:cs="Arial"/>
                <w:bCs/>
                <w:szCs w:val="22"/>
              </w:rPr>
              <w:t>7.00</w:t>
            </w:r>
            <w:r w:rsidRPr="00241BC1">
              <w:rPr>
                <w:rFonts w:cs="Arial"/>
                <w:bCs/>
                <w:szCs w:val="22"/>
              </w:rPr>
              <w:t>%)</w:t>
            </w:r>
          </w:p>
        </w:tc>
        <w:tc>
          <w:tcPr>
            <w:tcW w:w="2325" w:type="dxa"/>
            <w:vAlign w:val="center"/>
          </w:tcPr>
          <w:p w14:paraId="30EC7894" w14:textId="77777777" w:rsidR="002247BF" w:rsidRPr="00241BC1" w:rsidRDefault="002247BF" w:rsidP="0009357B">
            <w:pPr>
              <w:jc w:val="center"/>
              <w:rPr>
                <w:rFonts w:cs="Arial"/>
                <w:szCs w:val="22"/>
              </w:rPr>
            </w:pPr>
            <w:r w:rsidRPr="00241BC1">
              <w:rPr>
                <w:rFonts w:cs="Arial"/>
                <w:bCs/>
                <w:szCs w:val="22"/>
              </w:rPr>
              <w:t>1% Increase (</w:t>
            </w:r>
            <w:r>
              <w:rPr>
                <w:rFonts w:cs="Arial"/>
                <w:bCs/>
                <w:szCs w:val="22"/>
              </w:rPr>
              <w:t>8.00</w:t>
            </w:r>
            <w:r w:rsidRPr="00241BC1">
              <w:rPr>
                <w:rFonts w:cs="Arial"/>
                <w:bCs/>
                <w:szCs w:val="22"/>
              </w:rPr>
              <w:t>%)</w:t>
            </w:r>
          </w:p>
        </w:tc>
      </w:tr>
      <w:tr w:rsidR="006B3B77" w:rsidRPr="00911FA8" w14:paraId="2FB71D04" w14:textId="77777777" w:rsidTr="0009357B">
        <w:trPr>
          <w:cantSplit/>
          <w:trHeight w:val="395"/>
        </w:trPr>
        <w:tc>
          <w:tcPr>
            <w:tcW w:w="2367" w:type="dxa"/>
            <w:vAlign w:val="center"/>
          </w:tcPr>
          <w:p w14:paraId="303B0E35" w14:textId="77777777" w:rsidR="006B3B77" w:rsidRPr="00241BC1" w:rsidRDefault="006B3B77" w:rsidP="006B3B77">
            <w:pPr>
              <w:rPr>
                <w:rFonts w:cs="Arial"/>
                <w:b/>
                <w:szCs w:val="22"/>
              </w:rPr>
            </w:pPr>
            <w:r w:rsidRPr="00241BC1">
              <w:rPr>
                <w:rFonts w:cs="Arial"/>
                <w:b/>
                <w:szCs w:val="22"/>
              </w:rPr>
              <w:t xml:space="preserve">PERS 1 </w:t>
            </w:r>
          </w:p>
        </w:tc>
        <w:tc>
          <w:tcPr>
            <w:tcW w:w="2330" w:type="dxa"/>
            <w:vAlign w:val="center"/>
          </w:tcPr>
          <w:p w14:paraId="649CC7EA" w14:textId="37233A37" w:rsidR="006B3B77" w:rsidRPr="006B3B77" w:rsidRDefault="006B3B77" w:rsidP="006B3B77">
            <w:pPr>
              <w:jc w:val="center"/>
              <w:rPr>
                <w:rFonts w:cs="Arial"/>
                <w:szCs w:val="22"/>
              </w:rPr>
            </w:pPr>
            <w:r w:rsidRPr="006B3B77">
              <w:rPr>
                <w:rFonts w:cs="Segoe UI"/>
                <w:szCs w:val="22"/>
              </w:rPr>
              <w:t xml:space="preserve">$2,613,684,000 </w:t>
            </w:r>
          </w:p>
        </w:tc>
        <w:tc>
          <w:tcPr>
            <w:tcW w:w="2328" w:type="dxa"/>
            <w:vAlign w:val="center"/>
          </w:tcPr>
          <w:p w14:paraId="6DAE52D7" w14:textId="5D7D2E3D" w:rsidR="006B3B77" w:rsidRPr="006B3B77" w:rsidRDefault="006B3B77" w:rsidP="006B3B77">
            <w:pPr>
              <w:jc w:val="center"/>
              <w:rPr>
                <w:rFonts w:cs="Arial"/>
                <w:szCs w:val="22"/>
              </w:rPr>
            </w:pPr>
            <w:r w:rsidRPr="00C92006">
              <w:rPr>
                <w:rFonts w:cs="Segoe UI"/>
                <w:szCs w:val="22"/>
              </w:rPr>
              <w:t xml:space="preserve">$1,776,838,000 </w:t>
            </w:r>
          </w:p>
        </w:tc>
        <w:tc>
          <w:tcPr>
            <w:tcW w:w="2325" w:type="dxa"/>
            <w:vAlign w:val="center"/>
          </w:tcPr>
          <w:p w14:paraId="53AD0574" w14:textId="2663C755" w:rsidR="006B3B77" w:rsidRPr="006B3B77" w:rsidRDefault="006B3B77" w:rsidP="006B3B77">
            <w:pPr>
              <w:jc w:val="center"/>
              <w:rPr>
                <w:rFonts w:cs="Arial"/>
                <w:szCs w:val="22"/>
              </w:rPr>
            </w:pPr>
            <w:r w:rsidRPr="00C92006">
              <w:rPr>
                <w:rFonts w:cs="Segoe UI"/>
                <w:szCs w:val="22"/>
              </w:rPr>
              <w:t xml:space="preserve">$1,042,904,000 </w:t>
            </w:r>
          </w:p>
        </w:tc>
      </w:tr>
      <w:tr w:rsidR="002247BF" w:rsidRPr="00911FA8" w14:paraId="0A713B6F" w14:textId="77777777" w:rsidTr="0009357B">
        <w:trPr>
          <w:cantSplit/>
        </w:trPr>
        <w:tc>
          <w:tcPr>
            <w:tcW w:w="2367" w:type="dxa"/>
            <w:vAlign w:val="center"/>
          </w:tcPr>
          <w:p w14:paraId="1EE0EF2F" w14:textId="77777777" w:rsidR="002247BF" w:rsidRPr="00241BC1" w:rsidRDefault="002247BF" w:rsidP="0009357B">
            <w:pPr>
              <w:ind w:left="288"/>
              <w:rPr>
                <w:rFonts w:cs="Arial"/>
                <w:szCs w:val="22"/>
              </w:rPr>
            </w:pPr>
            <w:r w:rsidRPr="00241BC1">
              <w:rPr>
                <w:rFonts w:cs="Arial"/>
                <w:szCs w:val="22"/>
              </w:rPr>
              <w:t>Allocation Percentage</w:t>
            </w:r>
          </w:p>
        </w:tc>
        <w:tc>
          <w:tcPr>
            <w:tcW w:w="2330" w:type="dxa"/>
            <w:vAlign w:val="center"/>
          </w:tcPr>
          <w:p w14:paraId="3644918D" w14:textId="77777777" w:rsidR="002247BF" w:rsidRPr="006B3B77" w:rsidRDefault="002247BF" w:rsidP="0009357B">
            <w:pPr>
              <w:jc w:val="center"/>
              <w:rPr>
                <w:rFonts w:cs="Arial"/>
                <w:szCs w:val="22"/>
              </w:rPr>
            </w:pPr>
          </w:p>
        </w:tc>
        <w:tc>
          <w:tcPr>
            <w:tcW w:w="2328" w:type="dxa"/>
            <w:vAlign w:val="center"/>
          </w:tcPr>
          <w:p w14:paraId="7F909FE4" w14:textId="77777777" w:rsidR="002247BF" w:rsidRPr="006B3B77" w:rsidRDefault="002247BF" w:rsidP="0009357B">
            <w:pPr>
              <w:jc w:val="center"/>
              <w:rPr>
                <w:rFonts w:cs="Arial"/>
                <w:szCs w:val="22"/>
              </w:rPr>
            </w:pPr>
          </w:p>
        </w:tc>
        <w:tc>
          <w:tcPr>
            <w:tcW w:w="2325" w:type="dxa"/>
            <w:vAlign w:val="center"/>
          </w:tcPr>
          <w:p w14:paraId="6A52ED94" w14:textId="77777777" w:rsidR="002247BF" w:rsidRPr="006B3B77" w:rsidRDefault="002247BF" w:rsidP="0009357B">
            <w:pPr>
              <w:jc w:val="center"/>
              <w:rPr>
                <w:rFonts w:cs="Arial"/>
                <w:szCs w:val="22"/>
              </w:rPr>
            </w:pPr>
          </w:p>
        </w:tc>
      </w:tr>
      <w:tr w:rsidR="002247BF" w:rsidRPr="00911FA8" w14:paraId="5F648901" w14:textId="77777777" w:rsidTr="0009357B">
        <w:trPr>
          <w:cantSplit/>
        </w:trPr>
        <w:tc>
          <w:tcPr>
            <w:tcW w:w="2367" w:type="dxa"/>
            <w:vAlign w:val="center"/>
          </w:tcPr>
          <w:p w14:paraId="3501BDAF" w14:textId="77777777" w:rsidR="002247BF" w:rsidRPr="00241BC1" w:rsidRDefault="002247BF" w:rsidP="0009357B">
            <w:pPr>
              <w:ind w:left="288"/>
              <w:rPr>
                <w:rFonts w:cs="Arial"/>
                <w:szCs w:val="22"/>
              </w:rPr>
            </w:pPr>
            <w:r w:rsidRPr="00241BC1">
              <w:rPr>
                <w:rFonts w:cs="Arial"/>
                <w:szCs w:val="22"/>
              </w:rPr>
              <w:t xml:space="preserve">Proportionate Share  </w:t>
            </w:r>
          </w:p>
        </w:tc>
        <w:tc>
          <w:tcPr>
            <w:tcW w:w="2330" w:type="dxa"/>
            <w:vAlign w:val="center"/>
          </w:tcPr>
          <w:p w14:paraId="1ED6AA6F" w14:textId="77777777" w:rsidR="002247BF" w:rsidRPr="006B3B77" w:rsidRDefault="002247BF" w:rsidP="0009357B">
            <w:pPr>
              <w:jc w:val="center"/>
              <w:rPr>
                <w:rFonts w:cs="Arial"/>
                <w:szCs w:val="22"/>
              </w:rPr>
            </w:pPr>
          </w:p>
        </w:tc>
        <w:tc>
          <w:tcPr>
            <w:tcW w:w="2328" w:type="dxa"/>
            <w:vAlign w:val="center"/>
          </w:tcPr>
          <w:p w14:paraId="2C551F38" w14:textId="77777777" w:rsidR="002247BF" w:rsidRPr="006B3B77" w:rsidRDefault="002247BF" w:rsidP="0009357B">
            <w:pPr>
              <w:jc w:val="center"/>
              <w:rPr>
                <w:rFonts w:cs="Arial"/>
                <w:szCs w:val="22"/>
              </w:rPr>
            </w:pPr>
          </w:p>
        </w:tc>
        <w:tc>
          <w:tcPr>
            <w:tcW w:w="2325" w:type="dxa"/>
            <w:vAlign w:val="center"/>
          </w:tcPr>
          <w:p w14:paraId="589B7857" w14:textId="77777777" w:rsidR="002247BF" w:rsidRPr="006B3B77" w:rsidRDefault="002247BF" w:rsidP="0009357B">
            <w:pPr>
              <w:jc w:val="center"/>
              <w:rPr>
                <w:rFonts w:cs="Arial"/>
                <w:szCs w:val="22"/>
              </w:rPr>
            </w:pPr>
          </w:p>
        </w:tc>
      </w:tr>
      <w:tr w:rsidR="002247BF" w:rsidRPr="00911FA8" w14:paraId="36B38198" w14:textId="77777777" w:rsidTr="0009357B">
        <w:trPr>
          <w:cantSplit/>
          <w:trHeight w:val="98"/>
        </w:trPr>
        <w:tc>
          <w:tcPr>
            <w:tcW w:w="9350" w:type="dxa"/>
            <w:gridSpan w:val="4"/>
            <w:shd w:val="clear" w:color="auto" w:fill="D9D9D9" w:themeFill="background1" w:themeFillShade="D9"/>
            <w:vAlign w:val="center"/>
          </w:tcPr>
          <w:p w14:paraId="2EE8DEAE" w14:textId="77777777" w:rsidR="002247BF" w:rsidRPr="006B3B77" w:rsidRDefault="002247BF" w:rsidP="0009357B">
            <w:pPr>
              <w:rPr>
                <w:rFonts w:cs="Arial"/>
                <w:sz w:val="10"/>
                <w:szCs w:val="22"/>
              </w:rPr>
            </w:pPr>
            <w:r w:rsidRPr="006B3B77">
              <w:rPr>
                <w:rFonts w:ascii="Calibri" w:hAnsi="Calibri"/>
                <w:sz w:val="10"/>
              </w:rPr>
              <w:t>  </w:t>
            </w:r>
          </w:p>
        </w:tc>
      </w:tr>
      <w:tr w:rsidR="006B3B77" w:rsidRPr="00911FA8" w14:paraId="3C5E9EB6" w14:textId="77777777" w:rsidTr="0009357B">
        <w:trPr>
          <w:cantSplit/>
          <w:trHeight w:val="323"/>
        </w:trPr>
        <w:tc>
          <w:tcPr>
            <w:tcW w:w="2367" w:type="dxa"/>
            <w:vAlign w:val="center"/>
          </w:tcPr>
          <w:p w14:paraId="1F7F6988" w14:textId="77777777" w:rsidR="006B3B77" w:rsidRPr="00241BC1" w:rsidRDefault="006B3B77" w:rsidP="006B3B77">
            <w:pPr>
              <w:rPr>
                <w:rFonts w:cs="Arial"/>
                <w:b/>
                <w:szCs w:val="22"/>
              </w:rPr>
            </w:pPr>
            <w:r w:rsidRPr="00241BC1">
              <w:rPr>
                <w:rFonts w:cs="Arial"/>
                <w:b/>
                <w:szCs w:val="22"/>
              </w:rPr>
              <w:t xml:space="preserve">SERS 2/3 </w:t>
            </w:r>
          </w:p>
        </w:tc>
        <w:tc>
          <w:tcPr>
            <w:tcW w:w="2330" w:type="dxa"/>
            <w:vAlign w:val="center"/>
          </w:tcPr>
          <w:p w14:paraId="76003A8E" w14:textId="6F04B326" w:rsidR="006B3B77" w:rsidRPr="006B3B77" w:rsidRDefault="006B3B77" w:rsidP="006B3B77">
            <w:pPr>
              <w:jc w:val="center"/>
              <w:rPr>
                <w:rFonts w:cs="Arial"/>
                <w:szCs w:val="22"/>
              </w:rPr>
            </w:pPr>
            <w:r w:rsidRPr="00C92006">
              <w:rPr>
                <w:rFonts w:cs="Segoe UI"/>
                <w:szCs w:val="22"/>
              </w:rPr>
              <w:t xml:space="preserve">$1,399,115,000 </w:t>
            </w:r>
          </w:p>
        </w:tc>
        <w:tc>
          <w:tcPr>
            <w:tcW w:w="2328" w:type="dxa"/>
            <w:vAlign w:val="center"/>
          </w:tcPr>
          <w:p w14:paraId="01D3439D" w14:textId="2259AF59" w:rsidR="006B3B77" w:rsidRPr="006B3B77" w:rsidRDefault="006B3B77" w:rsidP="006B3B77">
            <w:pPr>
              <w:jc w:val="center"/>
              <w:rPr>
                <w:rFonts w:cs="Arial"/>
                <w:szCs w:val="22"/>
              </w:rPr>
            </w:pPr>
            <w:r w:rsidRPr="00C92006">
              <w:rPr>
                <w:rFonts w:cs="Segoe UI"/>
                <w:szCs w:val="22"/>
              </w:rPr>
              <w:t>($33,837,000)</w:t>
            </w:r>
          </w:p>
        </w:tc>
        <w:tc>
          <w:tcPr>
            <w:tcW w:w="2325" w:type="dxa"/>
            <w:vAlign w:val="center"/>
          </w:tcPr>
          <w:p w14:paraId="20D5926A" w14:textId="65A89B28" w:rsidR="006B3B77" w:rsidRPr="006B3B77" w:rsidRDefault="006B3B77" w:rsidP="006B3B77">
            <w:pPr>
              <w:jc w:val="center"/>
              <w:rPr>
                <w:rFonts w:cs="Arial"/>
                <w:szCs w:val="22"/>
              </w:rPr>
            </w:pPr>
            <w:r w:rsidRPr="00C92006">
              <w:rPr>
                <w:rFonts w:cs="Segoe UI"/>
                <w:szCs w:val="22"/>
              </w:rPr>
              <w:t>($1,213,237,000)</w:t>
            </w:r>
          </w:p>
        </w:tc>
      </w:tr>
      <w:tr w:rsidR="002247BF" w:rsidRPr="00911FA8" w14:paraId="1BD2F62D" w14:textId="77777777" w:rsidTr="0009357B">
        <w:trPr>
          <w:cantSplit/>
        </w:trPr>
        <w:tc>
          <w:tcPr>
            <w:tcW w:w="2367" w:type="dxa"/>
            <w:vAlign w:val="center"/>
          </w:tcPr>
          <w:p w14:paraId="14FB916C" w14:textId="77777777" w:rsidR="002247BF" w:rsidRPr="00241BC1" w:rsidRDefault="002247BF" w:rsidP="0009357B">
            <w:pPr>
              <w:ind w:left="288"/>
              <w:rPr>
                <w:rFonts w:cs="Arial"/>
                <w:szCs w:val="22"/>
              </w:rPr>
            </w:pPr>
            <w:r w:rsidRPr="00241BC1">
              <w:rPr>
                <w:rFonts w:cs="Arial"/>
                <w:szCs w:val="22"/>
              </w:rPr>
              <w:t>Allocation Percentage</w:t>
            </w:r>
          </w:p>
        </w:tc>
        <w:tc>
          <w:tcPr>
            <w:tcW w:w="2330" w:type="dxa"/>
            <w:vAlign w:val="center"/>
          </w:tcPr>
          <w:p w14:paraId="1206A5E4" w14:textId="77777777" w:rsidR="002247BF" w:rsidRPr="006B3B77" w:rsidRDefault="002247BF" w:rsidP="0009357B">
            <w:pPr>
              <w:jc w:val="center"/>
              <w:rPr>
                <w:rFonts w:cs="Arial"/>
                <w:szCs w:val="22"/>
              </w:rPr>
            </w:pPr>
          </w:p>
        </w:tc>
        <w:tc>
          <w:tcPr>
            <w:tcW w:w="2328" w:type="dxa"/>
            <w:vAlign w:val="center"/>
          </w:tcPr>
          <w:p w14:paraId="2416E483" w14:textId="77777777" w:rsidR="002247BF" w:rsidRPr="006B3B77" w:rsidRDefault="002247BF" w:rsidP="0009357B">
            <w:pPr>
              <w:jc w:val="center"/>
              <w:rPr>
                <w:rFonts w:cs="Arial"/>
                <w:szCs w:val="22"/>
              </w:rPr>
            </w:pPr>
          </w:p>
        </w:tc>
        <w:tc>
          <w:tcPr>
            <w:tcW w:w="2325" w:type="dxa"/>
            <w:vAlign w:val="center"/>
          </w:tcPr>
          <w:p w14:paraId="1D493069" w14:textId="77777777" w:rsidR="002247BF" w:rsidRPr="006B3B77" w:rsidRDefault="002247BF" w:rsidP="0009357B">
            <w:pPr>
              <w:jc w:val="center"/>
              <w:rPr>
                <w:rFonts w:cs="Arial"/>
                <w:szCs w:val="22"/>
              </w:rPr>
            </w:pPr>
          </w:p>
        </w:tc>
      </w:tr>
      <w:tr w:rsidR="002247BF" w:rsidRPr="00911FA8" w14:paraId="791F49E9" w14:textId="77777777" w:rsidTr="0009357B">
        <w:trPr>
          <w:cantSplit/>
        </w:trPr>
        <w:tc>
          <w:tcPr>
            <w:tcW w:w="2367" w:type="dxa"/>
            <w:vAlign w:val="center"/>
          </w:tcPr>
          <w:p w14:paraId="073AE183" w14:textId="77777777" w:rsidR="002247BF" w:rsidRPr="00241BC1" w:rsidRDefault="002247BF" w:rsidP="0009357B">
            <w:pPr>
              <w:ind w:left="288"/>
              <w:rPr>
                <w:rFonts w:cs="Arial"/>
                <w:szCs w:val="22"/>
              </w:rPr>
            </w:pPr>
            <w:r w:rsidRPr="00241BC1">
              <w:rPr>
                <w:rFonts w:cs="Arial"/>
                <w:szCs w:val="22"/>
              </w:rPr>
              <w:t xml:space="preserve">Proportionate Share  </w:t>
            </w:r>
          </w:p>
        </w:tc>
        <w:tc>
          <w:tcPr>
            <w:tcW w:w="2330" w:type="dxa"/>
            <w:vAlign w:val="center"/>
          </w:tcPr>
          <w:p w14:paraId="78EA04CD" w14:textId="77777777" w:rsidR="002247BF" w:rsidRPr="006B3B77" w:rsidRDefault="002247BF" w:rsidP="0009357B">
            <w:pPr>
              <w:jc w:val="center"/>
              <w:rPr>
                <w:rFonts w:cs="Arial"/>
                <w:szCs w:val="22"/>
              </w:rPr>
            </w:pPr>
          </w:p>
        </w:tc>
        <w:tc>
          <w:tcPr>
            <w:tcW w:w="2328" w:type="dxa"/>
            <w:vAlign w:val="center"/>
          </w:tcPr>
          <w:p w14:paraId="44C71EBD" w14:textId="77777777" w:rsidR="002247BF" w:rsidRPr="006B3B77" w:rsidRDefault="002247BF" w:rsidP="0009357B">
            <w:pPr>
              <w:jc w:val="center"/>
              <w:rPr>
                <w:rFonts w:cs="Arial"/>
                <w:szCs w:val="22"/>
              </w:rPr>
            </w:pPr>
          </w:p>
        </w:tc>
        <w:tc>
          <w:tcPr>
            <w:tcW w:w="2325" w:type="dxa"/>
            <w:vAlign w:val="center"/>
          </w:tcPr>
          <w:p w14:paraId="25F312A7" w14:textId="77777777" w:rsidR="002247BF" w:rsidRPr="006B3B77" w:rsidRDefault="002247BF" w:rsidP="0009357B">
            <w:pPr>
              <w:jc w:val="center"/>
              <w:rPr>
                <w:rFonts w:cs="Arial"/>
                <w:szCs w:val="22"/>
              </w:rPr>
            </w:pPr>
          </w:p>
        </w:tc>
      </w:tr>
      <w:tr w:rsidR="002247BF" w:rsidRPr="00911FA8" w14:paraId="40793895" w14:textId="77777777" w:rsidTr="0009357B">
        <w:trPr>
          <w:cantSplit/>
        </w:trPr>
        <w:tc>
          <w:tcPr>
            <w:tcW w:w="9350" w:type="dxa"/>
            <w:gridSpan w:val="4"/>
            <w:shd w:val="clear" w:color="auto" w:fill="D9D9D9" w:themeFill="background1" w:themeFillShade="D9"/>
            <w:vAlign w:val="center"/>
          </w:tcPr>
          <w:p w14:paraId="40636728" w14:textId="77777777" w:rsidR="002247BF" w:rsidRPr="006B3B77" w:rsidRDefault="002247BF" w:rsidP="0009357B">
            <w:pPr>
              <w:rPr>
                <w:rFonts w:cs="Arial"/>
                <w:szCs w:val="22"/>
              </w:rPr>
            </w:pPr>
            <w:r w:rsidRPr="006B3B77">
              <w:rPr>
                <w:rFonts w:ascii="Calibri" w:hAnsi="Calibri"/>
                <w:sz w:val="10"/>
              </w:rPr>
              <w:t>  </w:t>
            </w:r>
          </w:p>
        </w:tc>
      </w:tr>
      <w:tr w:rsidR="006B3B77" w:rsidRPr="00911FA8" w14:paraId="4B257580" w14:textId="77777777" w:rsidTr="0009357B">
        <w:trPr>
          <w:cantSplit/>
          <w:trHeight w:val="332"/>
        </w:trPr>
        <w:tc>
          <w:tcPr>
            <w:tcW w:w="2367" w:type="dxa"/>
            <w:vAlign w:val="center"/>
          </w:tcPr>
          <w:p w14:paraId="057C77CF" w14:textId="77777777" w:rsidR="006B3B77" w:rsidRPr="00241BC1" w:rsidRDefault="006B3B77" w:rsidP="006B3B77">
            <w:pPr>
              <w:rPr>
                <w:rFonts w:cs="Arial"/>
                <w:b/>
                <w:szCs w:val="22"/>
              </w:rPr>
            </w:pPr>
            <w:r w:rsidRPr="00241BC1">
              <w:rPr>
                <w:rFonts w:cs="Arial"/>
                <w:b/>
                <w:szCs w:val="22"/>
              </w:rPr>
              <w:t xml:space="preserve">TRS 1 </w:t>
            </w:r>
          </w:p>
        </w:tc>
        <w:tc>
          <w:tcPr>
            <w:tcW w:w="2330" w:type="dxa"/>
            <w:vAlign w:val="center"/>
          </w:tcPr>
          <w:p w14:paraId="130D0536" w14:textId="504B72DE" w:rsidR="006B3B77" w:rsidRPr="006B3B77" w:rsidRDefault="006B3B77" w:rsidP="006B3B77">
            <w:pPr>
              <w:jc w:val="center"/>
              <w:rPr>
                <w:rFonts w:cs="Arial"/>
                <w:szCs w:val="22"/>
              </w:rPr>
            </w:pPr>
            <w:r w:rsidRPr="00C92006">
              <w:rPr>
                <w:rFonts w:cs="Segoe UI"/>
                <w:szCs w:val="22"/>
              </w:rPr>
              <w:t xml:space="preserve">$1,717,438,000 </w:t>
            </w:r>
          </w:p>
        </w:tc>
        <w:tc>
          <w:tcPr>
            <w:tcW w:w="2328" w:type="dxa"/>
            <w:vAlign w:val="center"/>
          </w:tcPr>
          <w:p w14:paraId="758DA741" w14:textId="79829812" w:rsidR="006B3B77" w:rsidRPr="006B3B77" w:rsidRDefault="006B3B77" w:rsidP="006B3B77">
            <w:pPr>
              <w:jc w:val="center"/>
              <w:rPr>
                <w:rFonts w:cs="Arial"/>
                <w:szCs w:val="22"/>
              </w:rPr>
            </w:pPr>
            <w:r w:rsidRPr="00C92006">
              <w:rPr>
                <w:rFonts w:cs="Segoe UI"/>
                <w:szCs w:val="22"/>
              </w:rPr>
              <w:t xml:space="preserve">$1,109,297,000 </w:t>
            </w:r>
          </w:p>
        </w:tc>
        <w:tc>
          <w:tcPr>
            <w:tcW w:w="2325" w:type="dxa"/>
            <w:vAlign w:val="center"/>
          </w:tcPr>
          <w:p w14:paraId="5656631F" w14:textId="2210DA2F" w:rsidR="006B3B77" w:rsidRPr="006B3B77" w:rsidRDefault="006B3B77" w:rsidP="006B3B77">
            <w:pPr>
              <w:jc w:val="center"/>
              <w:rPr>
                <w:rFonts w:cs="Arial"/>
                <w:szCs w:val="22"/>
              </w:rPr>
            </w:pPr>
            <w:r w:rsidRPr="00C92006">
              <w:rPr>
                <w:rFonts w:cs="Segoe UI"/>
                <w:szCs w:val="22"/>
              </w:rPr>
              <w:t xml:space="preserve">$574,595,000 </w:t>
            </w:r>
          </w:p>
        </w:tc>
      </w:tr>
      <w:tr w:rsidR="002247BF" w:rsidRPr="00911FA8" w14:paraId="7C85B5B6" w14:textId="77777777" w:rsidTr="0009357B">
        <w:trPr>
          <w:cantSplit/>
        </w:trPr>
        <w:tc>
          <w:tcPr>
            <w:tcW w:w="2367" w:type="dxa"/>
            <w:vAlign w:val="center"/>
          </w:tcPr>
          <w:p w14:paraId="77199626" w14:textId="77777777" w:rsidR="002247BF" w:rsidRPr="00241BC1" w:rsidRDefault="002247BF" w:rsidP="0009357B">
            <w:pPr>
              <w:ind w:left="288"/>
              <w:rPr>
                <w:rFonts w:cs="Arial"/>
                <w:szCs w:val="22"/>
              </w:rPr>
            </w:pPr>
            <w:r w:rsidRPr="00241BC1">
              <w:rPr>
                <w:rFonts w:cs="Arial"/>
                <w:szCs w:val="22"/>
              </w:rPr>
              <w:t>Allocation Percentage</w:t>
            </w:r>
          </w:p>
        </w:tc>
        <w:tc>
          <w:tcPr>
            <w:tcW w:w="2330" w:type="dxa"/>
            <w:vAlign w:val="center"/>
          </w:tcPr>
          <w:p w14:paraId="2BA22A2A" w14:textId="77777777" w:rsidR="002247BF" w:rsidRPr="006B3B77" w:rsidRDefault="002247BF" w:rsidP="0009357B">
            <w:pPr>
              <w:jc w:val="center"/>
              <w:rPr>
                <w:rFonts w:cs="Arial"/>
                <w:szCs w:val="22"/>
              </w:rPr>
            </w:pPr>
          </w:p>
        </w:tc>
        <w:tc>
          <w:tcPr>
            <w:tcW w:w="2328" w:type="dxa"/>
            <w:vAlign w:val="center"/>
          </w:tcPr>
          <w:p w14:paraId="07385891" w14:textId="77777777" w:rsidR="002247BF" w:rsidRPr="006B3B77" w:rsidRDefault="002247BF" w:rsidP="0009357B">
            <w:pPr>
              <w:jc w:val="center"/>
              <w:rPr>
                <w:rFonts w:cs="Arial"/>
                <w:szCs w:val="22"/>
              </w:rPr>
            </w:pPr>
          </w:p>
        </w:tc>
        <w:tc>
          <w:tcPr>
            <w:tcW w:w="2325" w:type="dxa"/>
            <w:vAlign w:val="center"/>
          </w:tcPr>
          <w:p w14:paraId="17AA54D9" w14:textId="77777777" w:rsidR="002247BF" w:rsidRPr="006B3B77" w:rsidRDefault="002247BF" w:rsidP="0009357B">
            <w:pPr>
              <w:jc w:val="center"/>
              <w:rPr>
                <w:rFonts w:cs="Arial"/>
                <w:szCs w:val="22"/>
              </w:rPr>
            </w:pPr>
          </w:p>
        </w:tc>
      </w:tr>
      <w:tr w:rsidR="002247BF" w:rsidRPr="00911FA8" w14:paraId="0B9EAE86" w14:textId="77777777" w:rsidTr="0009357B">
        <w:trPr>
          <w:cantSplit/>
        </w:trPr>
        <w:tc>
          <w:tcPr>
            <w:tcW w:w="2367" w:type="dxa"/>
            <w:vAlign w:val="center"/>
          </w:tcPr>
          <w:p w14:paraId="3098FFC1" w14:textId="77777777" w:rsidR="002247BF" w:rsidRPr="00241BC1" w:rsidRDefault="002247BF" w:rsidP="0009357B">
            <w:pPr>
              <w:ind w:left="288"/>
              <w:rPr>
                <w:rFonts w:cs="Arial"/>
                <w:szCs w:val="22"/>
              </w:rPr>
            </w:pPr>
            <w:r w:rsidRPr="00241BC1">
              <w:rPr>
                <w:rFonts w:cs="Arial"/>
                <w:szCs w:val="22"/>
              </w:rPr>
              <w:t xml:space="preserve">Proportionate Share </w:t>
            </w:r>
          </w:p>
        </w:tc>
        <w:tc>
          <w:tcPr>
            <w:tcW w:w="2330" w:type="dxa"/>
            <w:vAlign w:val="center"/>
          </w:tcPr>
          <w:p w14:paraId="789853AB" w14:textId="77777777" w:rsidR="002247BF" w:rsidRPr="006B3B77" w:rsidRDefault="002247BF" w:rsidP="0009357B">
            <w:pPr>
              <w:jc w:val="center"/>
              <w:rPr>
                <w:rFonts w:cs="Arial"/>
                <w:szCs w:val="22"/>
              </w:rPr>
            </w:pPr>
          </w:p>
        </w:tc>
        <w:tc>
          <w:tcPr>
            <w:tcW w:w="2328" w:type="dxa"/>
            <w:vAlign w:val="center"/>
          </w:tcPr>
          <w:p w14:paraId="06CECF0B" w14:textId="77777777" w:rsidR="002247BF" w:rsidRPr="006B3B77" w:rsidRDefault="002247BF" w:rsidP="0009357B">
            <w:pPr>
              <w:jc w:val="center"/>
              <w:rPr>
                <w:rFonts w:cs="Arial"/>
                <w:szCs w:val="22"/>
              </w:rPr>
            </w:pPr>
          </w:p>
        </w:tc>
        <w:tc>
          <w:tcPr>
            <w:tcW w:w="2325" w:type="dxa"/>
            <w:vAlign w:val="center"/>
          </w:tcPr>
          <w:p w14:paraId="46E99FA7" w14:textId="77777777" w:rsidR="002247BF" w:rsidRPr="006B3B77" w:rsidRDefault="002247BF" w:rsidP="0009357B">
            <w:pPr>
              <w:jc w:val="center"/>
              <w:rPr>
                <w:rFonts w:cs="Arial"/>
                <w:szCs w:val="22"/>
              </w:rPr>
            </w:pPr>
          </w:p>
        </w:tc>
      </w:tr>
      <w:tr w:rsidR="002247BF" w:rsidRPr="00911FA8" w14:paraId="6E86B5DE" w14:textId="77777777" w:rsidTr="0009357B">
        <w:trPr>
          <w:cantSplit/>
        </w:trPr>
        <w:tc>
          <w:tcPr>
            <w:tcW w:w="9350" w:type="dxa"/>
            <w:gridSpan w:val="4"/>
            <w:shd w:val="clear" w:color="auto" w:fill="D9D9D9" w:themeFill="background1" w:themeFillShade="D9"/>
            <w:vAlign w:val="center"/>
          </w:tcPr>
          <w:p w14:paraId="619A10E3" w14:textId="77777777" w:rsidR="002247BF" w:rsidRPr="006B3B77" w:rsidRDefault="002247BF" w:rsidP="0009357B">
            <w:pPr>
              <w:jc w:val="center"/>
              <w:rPr>
                <w:rFonts w:cs="Arial"/>
                <w:sz w:val="10"/>
                <w:szCs w:val="22"/>
              </w:rPr>
            </w:pPr>
          </w:p>
        </w:tc>
      </w:tr>
      <w:tr w:rsidR="006B3B77" w:rsidRPr="00911FA8" w14:paraId="72B550F7" w14:textId="77777777" w:rsidTr="0009357B">
        <w:trPr>
          <w:cantSplit/>
          <w:trHeight w:val="377"/>
        </w:trPr>
        <w:tc>
          <w:tcPr>
            <w:tcW w:w="2367" w:type="dxa"/>
            <w:vAlign w:val="center"/>
          </w:tcPr>
          <w:p w14:paraId="40FC0AF2" w14:textId="77777777" w:rsidR="006B3B77" w:rsidRPr="00241BC1" w:rsidRDefault="006B3B77" w:rsidP="006B3B77">
            <w:pPr>
              <w:rPr>
                <w:rFonts w:cs="Arial"/>
                <w:b/>
                <w:szCs w:val="22"/>
              </w:rPr>
            </w:pPr>
            <w:r w:rsidRPr="00241BC1">
              <w:rPr>
                <w:rFonts w:cs="Arial"/>
                <w:b/>
                <w:szCs w:val="22"/>
              </w:rPr>
              <w:t>TRS 2/3</w:t>
            </w:r>
          </w:p>
        </w:tc>
        <w:tc>
          <w:tcPr>
            <w:tcW w:w="2330" w:type="dxa"/>
            <w:vAlign w:val="center"/>
          </w:tcPr>
          <w:p w14:paraId="203CC526" w14:textId="6312CC00" w:rsidR="006B3B77" w:rsidRPr="006B3B77" w:rsidRDefault="006B3B77" w:rsidP="006B3B77">
            <w:pPr>
              <w:jc w:val="center"/>
              <w:rPr>
                <w:rFonts w:cs="Arial"/>
                <w:szCs w:val="22"/>
              </w:rPr>
            </w:pPr>
            <w:r w:rsidRPr="00C92006">
              <w:rPr>
                <w:rFonts w:cs="Segoe UI"/>
                <w:szCs w:val="22"/>
              </w:rPr>
              <w:t xml:space="preserve">4,682,796,000 </w:t>
            </w:r>
          </w:p>
        </w:tc>
        <w:tc>
          <w:tcPr>
            <w:tcW w:w="2328" w:type="dxa"/>
            <w:vAlign w:val="center"/>
          </w:tcPr>
          <w:p w14:paraId="56641779" w14:textId="63290533" w:rsidR="006B3B77" w:rsidRPr="006B3B77" w:rsidRDefault="006B3B77" w:rsidP="006B3B77">
            <w:pPr>
              <w:jc w:val="center"/>
              <w:rPr>
                <w:rFonts w:cs="Arial"/>
                <w:szCs w:val="22"/>
              </w:rPr>
            </w:pPr>
            <w:r w:rsidRPr="00C92006">
              <w:rPr>
                <w:rFonts w:cs="Segoe UI"/>
                <w:szCs w:val="22"/>
              </w:rPr>
              <w:t xml:space="preserve">200,390,000 </w:t>
            </w:r>
          </w:p>
        </w:tc>
        <w:tc>
          <w:tcPr>
            <w:tcW w:w="2325" w:type="dxa"/>
            <w:vAlign w:val="center"/>
          </w:tcPr>
          <w:p w14:paraId="58E56089" w14:textId="37B95044" w:rsidR="006B3B77" w:rsidRPr="006B3B77" w:rsidRDefault="006B3B77" w:rsidP="006B3B77">
            <w:pPr>
              <w:jc w:val="center"/>
              <w:rPr>
                <w:rFonts w:cs="Arial"/>
                <w:szCs w:val="22"/>
              </w:rPr>
            </w:pPr>
            <w:r w:rsidRPr="00C92006">
              <w:rPr>
                <w:rFonts w:cs="Segoe UI"/>
                <w:szCs w:val="22"/>
              </w:rPr>
              <w:t>(3,441,878,000)</w:t>
            </w:r>
          </w:p>
        </w:tc>
      </w:tr>
      <w:tr w:rsidR="002247BF" w:rsidRPr="00911FA8" w14:paraId="5C902673" w14:textId="77777777" w:rsidTr="0009357B">
        <w:trPr>
          <w:cantSplit/>
        </w:trPr>
        <w:tc>
          <w:tcPr>
            <w:tcW w:w="2367" w:type="dxa"/>
            <w:vAlign w:val="center"/>
          </w:tcPr>
          <w:p w14:paraId="30F014D5" w14:textId="77777777" w:rsidR="002247BF" w:rsidRPr="00241BC1" w:rsidRDefault="002247BF" w:rsidP="0009357B">
            <w:pPr>
              <w:ind w:left="288"/>
              <w:rPr>
                <w:rFonts w:cs="Arial"/>
                <w:szCs w:val="22"/>
              </w:rPr>
            </w:pPr>
            <w:r w:rsidRPr="00241BC1">
              <w:rPr>
                <w:rFonts w:cs="Arial"/>
                <w:szCs w:val="22"/>
              </w:rPr>
              <w:t>Allocation Percentage</w:t>
            </w:r>
          </w:p>
        </w:tc>
        <w:tc>
          <w:tcPr>
            <w:tcW w:w="2330" w:type="dxa"/>
            <w:vAlign w:val="center"/>
          </w:tcPr>
          <w:p w14:paraId="055C0806" w14:textId="77777777" w:rsidR="002247BF" w:rsidRPr="00241BC1" w:rsidRDefault="002247BF" w:rsidP="0009357B">
            <w:pPr>
              <w:jc w:val="center"/>
              <w:rPr>
                <w:rFonts w:cs="Arial"/>
                <w:szCs w:val="22"/>
              </w:rPr>
            </w:pPr>
          </w:p>
        </w:tc>
        <w:tc>
          <w:tcPr>
            <w:tcW w:w="2328" w:type="dxa"/>
            <w:vAlign w:val="center"/>
          </w:tcPr>
          <w:p w14:paraId="36AC7D16" w14:textId="77777777" w:rsidR="002247BF" w:rsidRPr="00241BC1" w:rsidRDefault="002247BF" w:rsidP="0009357B">
            <w:pPr>
              <w:jc w:val="center"/>
              <w:rPr>
                <w:rFonts w:cs="Arial"/>
                <w:szCs w:val="22"/>
              </w:rPr>
            </w:pPr>
          </w:p>
        </w:tc>
        <w:tc>
          <w:tcPr>
            <w:tcW w:w="2325" w:type="dxa"/>
            <w:vAlign w:val="center"/>
          </w:tcPr>
          <w:p w14:paraId="12478398" w14:textId="77777777" w:rsidR="002247BF" w:rsidRPr="00241BC1" w:rsidRDefault="002247BF" w:rsidP="0009357B">
            <w:pPr>
              <w:jc w:val="center"/>
              <w:rPr>
                <w:rFonts w:cs="Arial"/>
                <w:szCs w:val="22"/>
              </w:rPr>
            </w:pPr>
          </w:p>
        </w:tc>
      </w:tr>
      <w:tr w:rsidR="002247BF" w:rsidRPr="00911FA8" w14:paraId="6B5D73E0" w14:textId="77777777" w:rsidTr="0009357B">
        <w:trPr>
          <w:cantSplit/>
        </w:trPr>
        <w:tc>
          <w:tcPr>
            <w:tcW w:w="2367" w:type="dxa"/>
            <w:vAlign w:val="center"/>
          </w:tcPr>
          <w:p w14:paraId="211FE784" w14:textId="77777777" w:rsidR="002247BF" w:rsidRPr="00241BC1" w:rsidRDefault="002247BF" w:rsidP="0009357B">
            <w:pPr>
              <w:ind w:left="288"/>
              <w:rPr>
                <w:rFonts w:cs="Arial"/>
                <w:szCs w:val="22"/>
              </w:rPr>
            </w:pPr>
            <w:r w:rsidRPr="00241BC1">
              <w:rPr>
                <w:rFonts w:cs="Arial"/>
                <w:szCs w:val="22"/>
              </w:rPr>
              <w:t xml:space="preserve">Proportionate Share </w:t>
            </w:r>
          </w:p>
        </w:tc>
        <w:tc>
          <w:tcPr>
            <w:tcW w:w="2330" w:type="dxa"/>
            <w:vAlign w:val="center"/>
          </w:tcPr>
          <w:p w14:paraId="60016F58" w14:textId="77777777" w:rsidR="002247BF" w:rsidRPr="00241BC1" w:rsidRDefault="002247BF" w:rsidP="0009357B">
            <w:pPr>
              <w:jc w:val="center"/>
              <w:rPr>
                <w:rFonts w:cs="Arial"/>
                <w:szCs w:val="22"/>
              </w:rPr>
            </w:pPr>
          </w:p>
        </w:tc>
        <w:tc>
          <w:tcPr>
            <w:tcW w:w="2328" w:type="dxa"/>
            <w:vAlign w:val="center"/>
          </w:tcPr>
          <w:p w14:paraId="32196C3F" w14:textId="77777777" w:rsidR="002247BF" w:rsidRPr="00241BC1" w:rsidRDefault="002247BF" w:rsidP="0009357B">
            <w:pPr>
              <w:jc w:val="center"/>
              <w:rPr>
                <w:rFonts w:cs="Arial"/>
                <w:szCs w:val="22"/>
              </w:rPr>
            </w:pPr>
          </w:p>
        </w:tc>
        <w:tc>
          <w:tcPr>
            <w:tcW w:w="2325" w:type="dxa"/>
            <w:vAlign w:val="center"/>
          </w:tcPr>
          <w:p w14:paraId="145A683C" w14:textId="77777777" w:rsidR="002247BF" w:rsidRPr="00241BC1" w:rsidRDefault="002247BF" w:rsidP="0009357B">
            <w:pPr>
              <w:jc w:val="center"/>
              <w:rPr>
                <w:rFonts w:cs="Arial"/>
                <w:szCs w:val="22"/>
              </w:rPr>
            </w:pPr>
          </w:p>
        </w:tc>
      </w:tr>
      <w:bookmarkEnd w:id="2"/>
    </w:tbl>
    <w:p w14:paraId="7B334D69" w14:textId="77777777" w:rsidR="002247BF" w:rsidRPr="00241BC1" w:rsidRDefault="002247BF" w:rsidP="002247BF"/>
    <w:p w14:paraId="7A2DAADB" w14:textId="77777777" w:rsidR="002247BF" w:rsidRPr="002839D7" w:rsidRDefault="002247BF" w:rsidP="002247BF">
      <w:pPr>
        <w:rPr>
          <w:rFonts w:cs="Segoe UI"/>
        </w:rPr>
      </w:pPr>
    </w:p>
    <w:p w14:paraId="15433EC2" w14:textId="77777777" w:rsidR="00B05558" w:rsidRPr="002247BF" w:rsidRDefault="00B05558" w:rsidP="002247BF"/>
    <w:sectPr w:rsidR="00B05558" w:rsidRPr="002247BF" w:rsidSect="008249FE">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B0AF" w14:textId="77777777" w:rsidR="001E4320" w:rsidRDefault="001E4320" w:rsidP="00061BC2">
      <w:r>
        <w:separator/>
      </w:r>
    </w:p>
  </w:endnote>
  <w:endnote w:type="continuationSeparator" w:id="0">
    <w:p w14:paraId="1B99B652" w14:textId="77777777" w:rsidR="001E4320" w:rsidRDefault="001E4320"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C1F9" w14:textId="3BF68AB0" w:rsidR="007B3621" w:rsidRPr="004E3494" w:rsidRDefault="007B3621" w:rsidP="00D31BD2">
    <w:pPr>
      <w:pStyle w:val="Footer"/>
      <w:tabs>
        <w:tab w:val="clear" w:pos="4680"/>
        <w:tab w:val="center" w:pos="720"/>
        <w:tab w:val="center" w:pos="2520"/>
        <w:tab w:val="center" w:pos="4320"/>
        <w:tab w:val="center" w:pos="6120"/>
        <w:tab w:val="center" w:pos="7560"/>
      </w:tabs>
      <w:rPr>
        <w:rFonts w:cs="Segoe UI"/>
        <w:sz w:val="20"/>
        <w:u w:val="single"/>
      </w:rPr>
    </w:pPr>
    <w:r w:rsidRPr="004E3494">
      <w:rPr>
        <w:rFonts w:cs="Segoe UI"/>
        <w:sz w:val="20"/>
        <w:u w:val="single"/>
      </w:rPr>
      <w:t xml:space="preserve">Effective </w:t>
    </w:r>
    <w:r>
      <w:rPr>
        <w:rFonts w:cs="Segoe UI"/>
        <w:sz w:val="20"/>
        <w:u w:val="single"/>
      </w:rPr>
      <w:t>FY</w:t>
    </w:r>
    <w:r w:rsidRPr="004E3494">
      <w:rPr>
        <w:rFonts w:cs="Segoe UI"/>
        <w:sz w:val="20"/>
      </w:rPr>
      <w:tab/>
    </w:r>
    <w:r w:rsidRPr="004E3494">
      <w:rPr>
        <w:rFonts w:cs="Segoe UI"/>
        <w:sz w:val="20"/>
        <w:u w:val="single"/>
      </w:rPr>
      <w:t>Supersedes</w:t>
    </w:r>
    <w:r w:rsidRPr="004E3494">
      <w:rPr>
        <w:rFonts w:cs="Segoe UI"/>
        <w:sz w:val="20"/>
      </w:rPr>
      <w:tab/>
    </w:r>
    <w:r w:rsidRPr="004E3494">
      <w:rPr>
        <w:rFonts w:cs="Segoe UI"/>
        <w:sz w:val="20"/>
        <w:u w:val="single"/>
      </w:rPr>
      <w:t>Form</w:t>
    </w:r>
    <w:r w:rsidRPr="004E3494">
      <w:rPr>
        <w:rFonts w:cs="Segoe UI"/>
        <w:sz w:val="20"/>
      </w:rPr>
      <w:tab/>
    </w:r>
    <w:r w:rsidRPr="004E3494">
      <w:rPr>
        <w:rFonts w:cs="Segoe UI"/>
        <w:sz w:val="20"/>
        <w:u w:val="single"/>
      </w:rPr>
      <w:t>Chapter</w:t>
    </w:r>
    <w:r w:rsidRPr="004E3494">
      <w:rPr>
        <w:rFonts w:cs="Segoe UI"/>
        <w:sz w:val="20"/>
      </w:rPr>
      <w:tab/>
    </w:r>
    <w:r w:rsidRPr="004E3494">
      <w:rPr>
        <w:rFonts w:cs="Segoe UI"/>
        <w:sz w:val="20"/>
        <w:u w:val="single"/>
      </w:rPr>
      <w:t>Section</w:t>
    </w:r>
    <w:r w:rsidRPr="004E3494">
      <w:rPr>
        <w:rFonts w:cs="Segoe UI"/>
        <w:sz w:val="20"/>
      </w:rPr>
      <w:tab/>
    </w:r>
    <w:r w:rsidRPr="004E3494">
      <w:rPr>
        <w:rFonts w:cs="Segoe UI"/>
        <w:sz w:val="20"/>
        <w:u w:val="single"/>
      </w:rPr>
      <w:t>Page</w:t>
    </w:r>
  </w:p>
  <w:p w14:paraId="75C61B89" w14:textId="16D47533" w:rsidR="007B3621" w:rsidRPr="004E3494" w:rsidRDefault="007B3621" w:rsidP="00175046">
    <w:pPr>
      <w:pStyle w:val="Footer"/>
      <w:tabs>
        <w:tab w:val="clear" w:pos="4680"/>
        <w:tab w:val="center" w:pos="720"/>
        <w:tab w:val="center" w:pos="2520"/>
        <w:tab w:val="center" w:pos="4320"/>
        <w:tab w:val="center" w:pos="6120"/>
        <w:tab w:val="center" w:pos="7560"/>
      </w:tabs>
      <w:rPr>
        <w:rFonts w:cs="Segoe UI"/>
        <w:sz w:val="20"/>
      </w:rPr>
    </w:pPr>
    <w:r>
      <w:rPr>
        <w:rFonts w:cs="Segoe UI"/>
        <w:sz w:val="20"/>
      </w:rPr>
      <w:t xml:space="preserve">FY </w:t>
    </w:r>
    <w:r w:rsidR="00905DED">
      <w:rPr>
        <w:rFonts w:cs="Segoe UI"/>
        <w:sz w:val="20"/>
      </w:rPr>
      <w:t>202</w:t>
    </w:r>
    <w:r w:rsidR="002247BF">
      <w:rPr>
        <w:rFonts w:cs="Segoe UI"/>
        <w:sz w:val="20"/>
      </w:rPr>
      <w:t>4</w:t>
    </w:r>
    <w:r>
      <w:rPr>
        <w:rFonts w:cs="Segoe UI"/>
        <w:sz w:val="20"/>
      </w:rPr>
      <w:tab/>
    </w:r>
    <w:r w:rsidRPr="004E3494">
      <w:rPr>
        <w:rFonts w:cs="Segoe UI"/>
        <w:sz w:val="20"/>
      </w:rPr>
      <w:tab/>
    </w:r>
    <w:r>
      <w:rPr>
        <w:rFonts w:cs="Segoe UI"/>
        <w:sz w:val="20"/>
      </w:rPr>
      <w:t xml:space="preserve">FY </w:t>
    </w:r>
    <w:r w:rsidR="002247BF">
      <w:rPr>
        <w:rFonts w:cs="Segoe UI"/>
        <w:sz w:val="20"/>
      </w:rPr>
      <w:t>2023</w:t>
    </w:r>
    <w:r w:rsidRPr="004E3494">
      <w:rPr>
        <w:rFonts w:cs="Segoe UI"/>
        <w:sz w:val="20"/>
      </w:rPr>
      <w:tab/>
    </w:r>
    <w:r w:rsidRPr="004E3494">
      <w:rPr>
        <w:rFonts w:cs="Segoe UI"/>
        <w:sz w:val="20"/>
      </w:rPr>
      <w:tab/>
      <w:t>F-196</w:t>
    </w:r>
    <w:r w:rsidRPr="004E3494">
      <w:rPr>
        <w:rFonts w:cs="Segoe UI"/>
        <w:sz w:val="20"/>
      </w:rPr>
      <w:tab/>
      <w:t>OCBOA (Cash)</w:t>
    </w:r>
    <w:r w:rsidRPr="004E3494">
      <w:rPr>
        <w:rFonts w:cs="Segoe UI"/>
        <w:sz w:val="20"/>
      </w:rPr>
      <w:tab/>
    </w:r>
    <w:r w:rsidRPr="004E3494">
      <w:rPr>
        <w:rFonts w:cs="Segoe UI"/>
        <w:sz w:val="20"/>
      </w:rPr>
      <w:fldChar w:fldCharType="begin"/>
    </w:r>
    <w:r w:rsidRPr="008C0785">
      <w:rPr>
        <w:rFonts w:cs="Segoe UI"/>
        <w:sz w:val="20"/>
      </w:rPr>
      <w:instrText xml:space="preserve"> PAGE   \* MERGEFORMAT </w:instrText>
    </w:r>
    <w:r w:rsidRPr="004E3494">
      <w:rPr>
        <w:rFonts w:cs="Segoe UI"/>
        <w:sz w:val="20"/>
      </w:rPr>
      <w:fldChar w:fldCharType="separate"/>
    </w:r>
    <w:r w:rsidR="0073365A">
      <w:rPr>
        <w:rFonts w:cs="Segoe UI"/>
        <w:noProof/>
        <w:sz w:val="20"/>
      </w:rPr>
      <w:t>2</w:t>
    </w:r>
    <w:r w:rsidRPr="004E3494">
      <w:rPr>
        <w:rFonts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FB80" w14:textId="77777777" w:rsidR="001E4320" w:rsidRDefault="001E4320" w:rsidP="00061BC2">
      <w:r>
        <w:separator/>
      </w:r>
    </w:p>
  </w:footnote>
  <w:footnote w:type="continuationSeparator" w:id="0">
    <w:p w14:paraId="2EB15A16" w14:textId="77777777" w:rsidR="001E4320" w:rsidRDefault="001E4320"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A6D3F"/>
    <w:multiLevelType w:val="hybridMultilevel"/>
    <w:tmpl w:val="D27A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F59DF"/>
    <w:multiLevelType w:val="hybridMultilevel"/>
    <w:tmpl w:val="4C84E86A"/>
    <w:lvl w:ilvl="0" w:tplc="0EF07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63922"/>
    <w:multiLevelType w:val="hybridMultilevel"/>
    <w:tmpl w:val="98CEAA5C"/>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2"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53990"/>
    <w:multiLevelType w:val="hybridMultilevel"/>
    <w:tmpl w:val="8C6ECD22"/>
    <w:lvl w:ilvl="0" w:tplc="04090019">
      <w:start w:val="1"/>
      <w:numFmt w:val="low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60DDF"/>
    <w:multiLevelType w:val="hybridMultilevel"/>
    <w:tmpl w:val="A9AA7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35FE2"/>
    <w:multiLevelType w:val="hybridMultilevel"/>
    <w:tmpl w:val="5FB0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37675">
    <w:abstractNumId w:val="1"/>
  </w:num>
  <w:num w:numId="2" w16cid:durableId="1666543773">
    <w:abstractNumId w:val="13"/>
  </w:num>
  <w:num w:numId="3" w16cid:durableId="1610165530">
    <w:abstractNumId w:val="16"/>
  </w:num>
  <w:num w:numId="4" w16cid:durableId="1202328823">
    <w:abstractNumId w:val="12"/>
  </w:num>
  <w:num w:numId="5" w16cid:durableId="1002127841">
    <w:abstractNumId w:val="7"/>
  </w:num>
  <w:num w:numId="6" w16cid:durableId="490946292">
    <w:abstractNumId w:val="15"/>
  </w:num>
  <w:num w:numId="7" w16cid:durableId="1741904272">
    <w:abstractNumId w:val="18"/>
  </w:num>
  <w:num w:numId="8" w16cid:durableId="286667633">
    <w:abstractNumId w:val="3"/>
  </w:num>
  <w:num w:numId="9" w16cid:durableId="579558503">
    <w:abstractNumId w:val="4"/>
  </w:num>
  <w:num w:numId="10" w16cid:durableId="1450080902">
    <w:abstractNumId w:val="17"/>
  </w:num>
  <w:num w:numId="11" w16cid:durableId="1746026922">
    <w:abstractNumId w:val="8"/>
  </w:num>
  <w:num w:numId="12" w16cid:durableId="962730728">
    <w:abstractNumId w:val="2"/>
  </w:num>
  <w:num w:numId="13" w16cid:durableId="469639123">
    <w:abstractNumId w:val="6"/>
  </w:num>
  <w:num w:numId="14" w16cid:durableId="1705666949">
    <w:abstractNumId w:val="5"/>
  </w:num>
  <w:num w:numId="15" w16cid:durableId="407308215">
    <w:abstractNumId w:val="14"/>
  </w:num>
  <w:num w:numId="16" w16cid:durableId="846675262">
    <w:abstractNumId w:val="10"/>
  </w:num>
  <w:num w:numId="17" w16cid:durableId="753818767">
    <w:abstractNumId w:val="0"/>
  </w:num>
  <w:num w:numId="18" w16cid:durableId="96145721">
    <w:abstractNumId w:val="9"/>
  </w:num>
  <w:num w:numId="19" w16cid:durableId="13487492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5FF0"/>
    <w:rsid w:val="00011594"/>
    <w:rsid w:val="00012F02"/>
    <w:rsid w:val="00017415"/>
    <w:rsid w:val="00021756"/>
    <w:rsid w:val="00022D91"/>
    <w:rsid w:val="00024FE9"/>
    <w:rsid w:val="000252C6"/>
    <w:rsid w:val="00031C94"/>
    <w:rsid w:val="000329BC"/>
    <w:rsid w:val="00032D71"/>
    <w:rsid w:val="000331EB"/>
    <w:rsid w:val="0003532E"/>
    <w:rsid w:val="000366D9"/>
    <w:rsid w:val="0004211F"/>
    <w:rsid w:val="0004429D"/>
    <w:rsid w:val="000474AF"/>
    <w:rsid w:val="000509E3"/>
    <w:rsid w:val="0005640E"/>
    <w:rsid w:val="00057187"/>
    <w:rsid w:val="00061BC2"/>
    <w:rsid w:val="00073870"/>
    <w:rsid w:val="00075B3D"/>
    <w:rsid w:val="00080135"/>
    <w:rsid w:val="000814B7"/>
    <w:rsid w:val="000850CB"/>
    <w:rsid w:val="000927E1"/>
    <w:rsid w:val="00092848"/>
    <w:rsid w:val="000A6BA7"/>
    <w:rsid w:val="000B2258"/>
    <w:rsid w:val="000C5E1A"/>
    <w:rsid w:val="000E1825"/>
    <w:rsid w:val="000E6308"/>
    <w:rsid w:val="000F2714"/>
    <w:rsid w:val="000F699B"/>
    <w:rsid w:val="00100B18"/>
    <w:rsid w:val="00103CBA"/>
    <w:rsid w:val="001119A2"/>
    <w:rsid w:val="00141A63"/>
    <w:rsid w:val="00142C1F"/>
    <w:rsid w:val="00147C29"/>
    <w:rsid w:val="00152A4C"/>
    <w:rsid w:val="00152A6E"/>
    <w:rsid w:val="00157FF3"/>
    <w:rsid w:val="00163257"/>
    <w:rsid w:val="001647F0"/>
    <w:rsid w:val="0016493E"/>
    <w:rsid w:val="00174A8C"/>
    <w:rsid w:val="00175046"/>
    <w:rsid w:val="001757BA"/>
    <w:rsid w:val="00176361"/>
    <w:rsid w:val="0019301D"/>
    <w:rsid w:val="001A407D"/>
    <w:rsid w:val="001A53B5"/>
    <w:rsid w:val="001A5421"/>
    <w:rsid w:val="001A593D"/>
    <w:rsid w:val="001A7885"/>
    <w:rsid w:val="001B4C7A"/>
    <w:rsid w:val="001B5F66"/>
    <w:rsid w:val="001C1653"/>
    <w:rsid w:val="001C19A5"/>
    <w:rsid w:val="001C2D57"/>
    <w:rsid w:val="001D72A3"/>
    <w:rsid w:val="001D77D4"/>
    <w:rsid w:val="001E4320"/>
    <w:rsid w:val="001E4A76"/>
    <w:rsid w:val="001E4B2F"/>
    <w:rsid w:val="001E4DA3"/>
    <w:rsid w:val="001F6D2C"/>
    <w:rsid w:val="00201BA2"/>
    <w:rsid w:val="00202080"/>
    <w:rsid w:val="00206F0F"/>
    <w:rsid w:val="00215AD8"/>
    <w:rsid w:val="00217C0E"/>
    <w:rsid w:val="002247BF"/>
    <w:rsid w:val="002310B2"/>
    <w:rsid w:val="00235C33"/>
    <w:rsid w:val="00236143"/>
    <w:rsid w:val="00236BF9"/>
    <w:rsid w:val="0024627C"/>
    <w:rsid w:val="00253823"/>
    <w:rsid w:val="00255F60"/>
    <w:rsid w:val="00267CCF"/>
    <w:rsid w:val="0027484B"/>
    <w:rsid w:val="002835A3"/>
    <w:rsid w:val="002839D7"/>
    <w:rsid w:val="00287690"/>
    <w:rsid w:val="00296C07"/>
    <w:rsid w:val="002A1DFC"/>
    <w:rsid w:val="002B2289"/>
    <w:rsid w:val="002B5DFF"/>
    <w:rsid w:val="002C4195"/>
    <w:rsid w:val="002C47C0"/>
    <w:rsid w:val="002C4B56"/>
    <w:rsid w:val="002C53B9"/>
    <w:rsid w:val="002D11EC"/>
    <w:rsid w:val="002E42F7"/>
    <w:rsid w:val="002F0678"/>
    <w:rsid w:val="002F38C6"/>
    <w:rsid w:val="002F5D90"/>
    <w:rsid w:val="003001ED"/>
    <w:rsid w:val="00313410"/>
    <w:rsid w:val="00313C4C"/>
    <w:rsid w:val="00314339"/>
    <w:rsid w:val="003149AB"/>
    <w:rsid w:val="00324978"/>
    <w:rsid w:val="00330A63"/>
    <w:rsid w:val="003326F0"/>
    <w:rsid w:val="003355C9"/>
    <w:rsid w:val="00335AC9"/>
    <w:rsid w:val="00336514"/>
    <w:rsid w:val="00337D44"/>
    <w:rsid w:val="00345291"/>
    <w:rsid w:val="00350D98"/>
    <w:rsid w:val="00357463"/>
    <w:rsid w:val="00357C93"/>
    <w:rsid w:val="0036068C"/>
    <w:rsid w:val="00361A26"/>
    <w:rsid w:val="00362861"/>
    <w:rsid w:val="00364D2C"/>
    <w:rsid w:val="0036747A"/>
    <w:rsid w:val="0037140B"/>
    <w:rsid w:val="0038023A"/>
    <w:rsid w:val="00380B7F"/>
    <w:rsid w:val="00381EE5"/>
    <w:rsid w:val="003845D2"/>
    <w:rsid w:val="00392D08"/>
    <w:rsid w:val="00397AA3"/>
    <w:rsid w:val="003A18C9"/>
    <w:rsid w:val="003A1C9E"/>
    <w:rsid w:val="003A2689"/>
    <w:rsid w:val="003A3CA8"/>
    <w:rsid w:val="003B0311"/>
    <w:rsid w:val="003B6F0B"/>
    <w:rsid w:val="003C12E4"/>
    <w:rsid w:val="003C2044"/>
    <w:rsid w:val="003C4F7E"/>
    <w:rsid w:val="003C6E91"/>
    <w:rsid w:val="003D7946"/>
    <w:rsid w:val="003E0D27"/>
    <w:rsid w:val="003E4269"/>
    <w:rsid w:val="003E738C"/>
    <w:rsid w:val="003F0A01"/>
    <w:rsid w:val="003F4BAA"/>
    <w:rsid w:val="003F5A8A"/>
    <w:rsid w:val="0040316A"/>
    <w:rsid w:val="004132D0"/>
    <w:rsid w:val="004156D0"/>
    <w:rsid w:val="00451776"/>
    <w:rsid w:val="0045301C"/>
    <w:rsid w:val="00470131"/>
    <w:rsid w:val="00471CA7"/>
    <w:rsid w:val="00474F03"/>
    <w:rsid w:val="004922C5"/>
    <w:rsid w:val="004A1DCA"/>
    <w:rsid w:val="004B1DA5"/>
    <w:rsid w:val="004B4055"/>
    <w:rsid w:val="004C067A"/>
    <w:rsid w:val="004C2414"/>
    <w:rsid w:val="004C3281"/>
    <w:rsid w:val="004D4A64"/>
    <w:rsid w:val="004D73FD"/>
    <w:rsid w:val="004E001B"/>
    <w:rsid w:val="004E3494"/>
    <w:rsid w:val="004E45C6"/>
    <w:rsid w:val="004E66A7"/>
    <w:rsid w:val="004F66F9"/>
    <w:rsid w:val="00501D34"/>
    <w:rsid w:val="00504485"/>
    <w:rsid w:val="00506E0C"/>
    <w:rsid w:val="00514F7E"/>
    <w:rsid w:val="005179DB"/>
    <w:rsid w:val="0052213F"/>
    <w:rsid w:val="0052395F"/>
    <w:rsid w:val="00523CB7"/>
    <w:rsid w:val="00524B07"/>
    <w:rsid w:val="0052610D"/>
    <w:rsid w:val="00527DA6"/>
    <w:rsid w:val="00531E32"/>
    <w:rsid w:val="00540D9D"/>
    <w:rsid w:val="00545686"/>
    <w:rsid w:val="00550604"/>
    <w:rsid w:val="0055340D"/>
    <w:rsid w:val="00555C39"/>
    <w:rsid w:val="00557516"/>
    <w:rsid w:val="00565DFE"/>
    <w:rsid w:val="005661A3"/>
    <w:rsid w:val="00567263"/>
    <w:rsid w:val="005674FD"/>
    <w:rsid w:val="005713AE"/>
    <w:rsid w:val="0057753F"/>
    <w:rsid w:val="005775D5"/>
    <w:rsid w:val="00581936"/>
    <w:rsid w:val="00582CB2"/>
    <w:rsid w:val="00584346"/>
    <w:rsid w:val="005A3C5E"/>
    <w:rsid w:val="005A6925"/>
    <w:rsid w:val="005B2C95"/>
    <w:rsid w:val="005B7379"/>
    <w:rsid w:val="005B7638"/>
    <w:rsid w:val="005E081D"/>
    <w:rsid w:val="005E1383"/>
    <w:rsid w:val="005E4890"/>
    <w:rsid w:val="005E6C1A"/>
    <w:rsid w:val="005E6D7D"/>
    <w:rsid w:val="005F208C"/>
    <w:rsid w:val="005F34E8"/>
    <w:rsid w:val="00601F42"/>
    <w:rsid w:val="00606B77"/>
    <w:rsid w:val="006114BD"/>
    <w:rsid w:val="006135CC"/>
    <w:rsid w:val="00613A54"/>
    <w:rsid w:val="006161E1"/>
    <w:rsid w:val="006205DA"/>
    <w:rsid w:val="00620E6B"/>
    <w:rsid w:val="00626DDA"/>
    <w:rsid w:val="006316DB"/>
    <w:rsid w:val="00635425"/>
    <w:rsid w:val="00635714"/>
    <w:rsid w:val="00643719"/>
    <w:rsid w:val="0064594A"/>
    <w:rsid w:val="00647A96"/>
    <w:rsid w:val="00673A16"/>
    <w:rsid w:val="006748B3"/>
    <w:rsid w:val="006816CF"/>
    <w:rsid w:val="006820A4"/>
    <w:rsid w:val="00685A97"/>
    <w:rsid w:val="00685C5F"/>
    <w:rsid w:val="006A1FC4"/>
    <w:rsid w:val="006B1607"/>
    <w:rsid w:val="006B3B77"/>
    <w:rsid w:val="006B555A"/>
    <w:rsid w:val="006B742D"/>
    <w:rsid w:val="006B765A"/>
    <w:rsid w:val="006D0D5B"/>
    <w:rsid w:val="006D205B"/>
    <w:rsid w:val="006D249E"/>
    <w:rsid w:val="006D52E1"/>
    <w:rsid w:val="006E0482"/>
    <w:rsid w:val="006E58CA"/>
    <w:rsid w:val="006F1F58"/>
    <w:rsid w:val="00701E1A"/>
    <w:rsid w:val="00705153"/>
    <w:rsid w:val="00705CB7"/>
    <w:rsid w:val="007063A1"/>
    <w:rsid w:val="00706D9E"/>
    <w:rsid w:val="00717738"/>
    <w:rsid w:val="007227FF"/>
    <w:rsid w:val="007262BE"/>
    <w:rsid w:val="007273AC"/>
    <w:rsid w:val="00727899"/>
    <w:rsid w:val="0073097B"/>
    <w:rsid w:val="00730A48"/>
    <w:rsid w:val="007312A2"/>
    <w:rsid w:val="0073365A"/>
    <w:rsid w:val="007349C0"/>
    <w:rsid w:val="0074398A"/>
    <w:rsid w:val="007504BD"/>
    <w:rsid w:val="00753205"/>
    <w:rsid w:val="00754D64"/>
    <w:rsid w:val="00763417"/>
    <w:rsid w:val="0076793C"/>
    <w:rsid w:val="00777BEC"/>
    <w:rsid w:val="007805FA"/>
    <w:rsid w:val="0078239E"/>
    <w:rsid w:val="007901CB"/>
    <w:rsid w:val="00791533"/>
    <w:rsid w:val="007959E9"/>
    <w:rsid w:val="00797FFC"/>
    <w:rsid w:val="007A0376"/>
    <w:rsid w:val="007A13A4"/>
    <w:rsid w:val="007A2435"/>
    <w:rsid w:val="007A425F"/>
    <w:rsid w:val="007A724E"/>
    <w:rsid w:val="007B0B0A"/>
    <w:rsid w:val="007B3621"/>
    <w:rsid w:val="007C2A33"/>
    <w:rsid w:val="007C4AEA"/>
    <w:rsid w:val="007C6238"/>
    <w:rsid w:val="007C7B2F"/>
    <w:rsid w:val="007D02CD"/>
    <w:rsid w:val="007D6531"/>
    <w:rsid w:val="007D7CA9"/>
    <w:rsid w:val="007E1818"/>
    <w:rsid w:val="007E24DD"/>
    <w:rsid w:val="007E36FF"/>
    <w:rsid w:val="007E5085"/>
    <w:rsid w:val="007E52D2"/>
    <w:rsid w:val="007F0181"/>
    <w:rsid w:val="007F279E"/>
    <w:rsid w:val="00802F58"/>
    <w:rsid w:val="008075B3"/>
    <w:rsid w:val="00820BFB"/>
    <w:rsid w:val="008210AE"/>
    <w:rsid w:val="008249FE"/>
    <w:rsid w:val="0083126F"/>
    <w:rsid w:val="00841F8C"/>
    <w:rsid w:val="008461AB"/>
    <w:rsid w:val="00851321"/>
    <w:rsid w:val="00852D9B"/>
    <w:rsid w:val="00854715"/>
    <w:rsid w:val="0086080C"/>
    <w:rsid w:val="0086453F"/>
    <w:rsid w:val="00872E02"/>
    <w:rsid w:val="00882AA7"/>
    <w:rsid w:val="00883E63"/>
    <w:rsid w:val="008867EB"/>
    <w:rsid w:val="00892753"/>
    <w:rsid w:val="00895E6D"/>
    <w:rsid w:val="008A08ED"/>
    <w:rsid w:val="008A2E12"/>
    <w:rsid w:val="008B5B12"/>
    <w:rsid w:val="008C0785"/>
    <w:rsid w:val="008C0E10"/>
    <w:rsid w:val="008C4C55"/>
    <w:rsid w:val="008D1480"/>
    <w:rsid w:val="008D32BD"/>
    <w:rsid w:val="008D6909"/>
    <w:rsid w:val="008F5973"/>
    <w:rsid w:val="008F7B15"/>
    <w:rsid w:val="00905DED"/>
    <w:rsid w:val="009305B5"/>
    <w:rsid w:val="00931111"/>
    <w:rsid w:val="00940FAC"/>
    <w:rsid w:val="009468FC"/>
    <w:rsid w:val="00951D35"/>
    <w:rsid w:val="00954615"/>
    <w:rsid w:val="00954FB2"/>
    <w:rsid w:val="00956E33"/>
    <w:rsid w:val="00957AE1"/>
    <w:rsid w:val="009634AB"/>
    <w:rsid w:val="009708AD"/>
    <w:rsid w:val="0097248A"/>
    <w:rsid w:val="00973B63"/>
    <w:rsid w:val="00977109"/>
    <w:rsid w:val="0098137A"/>
    <w:rsid w:val="00986448"/>
    <w:rsid w:val="0099131B"/>
    <w:rsid w:val="00992AA5"/>
    <w:rsid w:val="009936BB"/>
    <w:rsid w:val="00996A16"/>
    <w:rsid w:val="009A1BE6"/>
    <w:rsid w:val="009A3CA7"/>
    <w:rsid w:val="009A6E69"/>
    <w:rsid w:val="009B5C3A"/>
    <w:rsid w:val="009B6E01"/>
    <w:rsid w:val="009B71E7"/>
    <w:rsid w:val="009D29A6"/>
    <w:rsid w:val="009E03E3"/>
    <w:rsid w:val="009E6A24"/>
    <w:rsid w:val="009E6F8C"/>
    <w:rsid w:val="009F6E7E"/>
    <w:rsid w:val="00A025C0"/>
    <w:rsid w:val="00A073BB"/>
    <w:rsid w:val="00A10FE5"/>
    <w:rsid w:val="00A12BE3"/>
    <w:rsid w:val="00A13962"/>
    <w:rsid w:val="00A150FC"/>
    <w:rsid w:val="00A17CB0"/>
    <w:rsid w:val="00A20E2E"/>
    <w:rsid w:val="00A30834"/>
    <w:rsid w:val="00A34257"/>
    <w:rsid w:val="00A43511"/>
    <w:rsid w:val="00A43B68"/>
    <w:rsid w:val="00A4447E"/>
    <w:rsid w:val="00A47FD2"/>
    <w:rsid w:val="00A600C5"/>
    <w:rsid w:val="00A64586"/>
    <w:rsid w:val="00A76FF1"/>
    <w:rsid w:val="00A82EA5"/>
    <w:rsid w:val="00AA038A"/>
    <w:rsid w:val="00AA3A7E"/>
    <w:rsid w:val="00AB127B"/>
    <w:rsid w:val="00AB742D"/>
    <w:rsid w:val="00AC5955"/>
    <w:rsid w:val="00AD2D34"/>
    <w:rsid w:val="00AD2F80"/>
    <w:rsid w:val="00AE0818"/>
    <w:rsid w:val="00AE0E05"/>
    <w:rsid w:val="00AE67C8"/>
    <w:rsid w:val="00AF692A"/>
    <w:rsid w:val="00B03BF5"/>
    <w:rsid w:val="00B05558"/>
    <w:rsid w:val="00B065E8"/>
    <w:rsid w:val="00B079B4"/>
    <w:rsid w:val="00B113CC"/>
    <w:rsid w:val="00B1497E"/>
    <w:rsid w:val="00B1510C"/>
    <w:rsid w:val="00B156D0"/>
    <w:rsid w:val="00B20496"/>
    <w:rsid w:val="00B24C2C"/>
    <w:rsid w:val="00B27E1A"/>
    <w:rsid w:val="00B31B22"/>
    <w:rsid w:val="00B42EC1"/>
    <w:rsid w:val="00B46976"/>
    <w:rsid w:val="00B50F9D"/>
    <w:rsid w:val="00B5743A"/>
    <w:rsid w:val="00B64EA1"/>
    <w:rsid w:val="00B74E27"/>
    <w:rsid w:val="00B76CDF"/>
    <w:rsid w:val="00B91333"/>
    <w:rsid w:val="00B95604"/>
    <w:rsid w:val="00B96B83"/>
    <w:rsid w:val="00B9752A"/>
    <w:rsid w:val="00B97636"/>
    <w:rsid w:val="00BA5AB4"/>
    <w:rsid w:val="00BA62FE"/>
    <w:rsid w:val="00BA776B"/>
    <w:rsid w:val="00BB59B1"/>
    <w:rsid w:val="00BC5033"/>
    <w:rsid w:val="00BD4035"/>
    <w:rsid w:val="00BE0CE8"/>
    <w:rsid w:val="00BE5342"/>
    <w:rsid w:val="00BE7850"/>
    <w:rsid w:val="00C10098"/>
    <w:rsid w:val="00C13474"/>
    <w:rsid w:val="00C140BB"/>
    <w:rsid w:val="00C17BA6"/>
    <w:rsid w:val="00C25A36"/>
    <w:rsid w:val="00C264AE"/>
    <w:rsid w:val="00C32061"/>
    <w:rsid w:val="00C413B4"/>
    <w:rsid w:val="00C61C59"/>
    <w:rsid w:val="00C63ECD"/>
    <w:rsid w:val="00C6598F"/>
    <w:rsid w:val="00C85304"/>
    <w:rsid w:val="00C85CCE"/>
    <w:rsid w:val="00C91A95"/>
    <w:rsid w:val="00C92006"/>
    <w:rsid w:val="00C929CE"/>
    <w:rsid w:val="00C936F8"/>
    <w:rsid w:val="00CB3433"/>
    <w:rsid w:val="00CB4134"/>
    <w:rsid w:val="00CB4DFA"/>
    <w:rsid w:val="00CB5B3E"/>
    <w:rsid w:val="00CC2208"/>
    <w:rsid w:val="00CD5171"/>
    <w:rsid w:val="00CE22EA"/>
    <w:rsid w:val="00CE2B35"/>
    <w:rsid w:val="00CF0011"/>
    <w:rsid w:val="00CF3037"/>
    <w:rsid w:val="00CF363A"/>
    <w:rsid w:val="00D00ADD"/>
    <w:rsid w:val="00D17FE5"/>
    <w:rsid w:val="00D210C2"/>
    <w:rsid w:val="00D23E5D"/>
    <w:rsid w:val="00D25B09"/>
    <w:rsid w:val="00D26CE1"/>
    <w:rsid w:val="00D303DC"/>
    <w:rsid w:val="00D31BD2"/>
    <w:rsid w:val="00D34A8E"/>
    <w:rsid w:val="00D36AD9"/>
    <w:rsid w:val="00D40B96"/>
    <w:rsid w:val="00D443D2"/>
    <w:rsid w:val="00D452B5"/>
    <w:rsid w:val="00D51399"/>
    <w:rsid w:val="00D5652F"/>
    <w:rsid w:val="00D65699"/>
    <w:rsid w:val="00D75795"/>
    <w:rsid w:val="00D82C47"/>
    <w:rsid w:val="00D86303"/>
    <w:rsid w:val="00D91FCB"/>
    <w:rsid w:val="00D96645"/>
    <w:rsid w:val="00DE099A"/>
    <w:rsid w:val="00DF0BB7"/>
    <w:rsid w:val="00DF3A92"/>
    <w:rsid w:val="00DF7449"/>
    <w:rsid w:val="00DF7F10"/>
    <w:rsid w:val="00E0002E"/>
    <w:rsid w:val="00E00623"/>
    <w:rsid w:val="00E020E1"/>
    <w:rsid w:val="00E03CF9"/>
    <w:rsid w:val="00E140F2"/>
    <w:rsid w:val="00E16062"/>
    <w:rsid w:val="00E178B3"/>
    <w:rsid w:val="00E21652"/>
    <w:rsid w:val="00E22C09"/>
    <w:rsid w:val="00E237D1"/>
    <w:rsid w:val="00E2429B"/>
    <w:rsid w:val="00E26E36"/>
    <w:rsid w:val="00E271E9"/>
    <w:rsid w:val="00E31496"/>
    <w:rsid w:val="00E334E6"/>
    <w:rsid w:val="00E40BBD"/>
    <w:rsid w:val="00E50F08"/>
    <w:rsid w:val="00E611BB"/>
    <w:rsid w:val="00E61865"/>
    <w:rsid w:val="00E63C4D"/>
    <w:rsid w:val="00E703A7"/>
    <w:rsid w:val="00E7273A"/>
    <w:rsid w:val="00E76E8D"/>
    <w:rsid w:val="00E93875"/>
    <w:rsid w:val="00E951CA"/>
    <w:rsid w:val="00EA0A69"/>
    <w:rsid w:val="00EA5794"/>
    <w:rsid w:val="00EA64E0"/>
    <w:rsid w:val="00EB110E"/>
    <w:rsid w:val="00EC1DC3"/>
    <w:rsid w:val="00EC4F9C"/>
    <w:rsid w:val="00EC5FE7"/>
    <w:rsid w:val="00ED0727"/>
    <w:rsid w:val="00EE277D"/>
    <w:rsid w:val="00EE4F7C"/>
    <w:rsid w:val="00EF3636"/>
    <w:rsid w:val="00EF3DF9"/>
    <w:rsid w:val="00EF5E54"/>
    <w:rsid w:val="00F033DB"/>
    <w:rsid w:val="00F139E8"/>
    <w:rsid w:val="00F201CD"/>
    <w:rsid w:val="00F2694E"/>
    <w:rsid w:val="00F26E06"/>
    <w:rsid w:val="00F42A05"/>
    <w:rsid w:val="00F474BB"/>
    <w:rsid w:val="00F475C2"/>
    <w:rsid w:val="00F60B6D"/>
    <w:rsid w:val="00F627CA"/>
    <w:rsid w:val="00F654AC"/>
    <w:rsid w:val="00F8263E"/>
    <w:rsid w:val="00F90E94"/>
    <w:rsid w:val="00F95445"/>
    <w:rsid w:val="00FA2D4A"/>
    <w:rsid w:val="00FA5B12"/>
    <w:rsid w:val="00FB177E"/>
    <w:rsid w:val="00FC4628"/>
    <w:rsid w:val="00FC5F0E"/>
    <w:rsid w:val="00FC62B6"/>
    <w:rsid w:val="00FD0B3B"/>
    <w:rsid w:val="00FD6C85"/>
    <w:rsid w:val="00FE0DE3"/>
    <w:rsid w:val="00FE5CFF"/>
    <w:rsid w:val="00FF02FA"/>
    <w:rsid w:val="00FF47C3"/>
    <w:rsid w:val="00FF6DE7"/>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6D04"/>
  <w15:docId w15:val="{1E4C5101-80CC-43D4-AFFB-BD1D0CDF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D7"/>
    <w:rPr>
      <w:rFonts w:ascii="Segoe UI" w:hAnsi="Segoe UI"/>
      <w:sz w:val="22"/>
    </w:rPr>
  </w:style>
  <w:style w:type="paragraph" w:styleId="Heading1">
    <w:name w:val="heading 1"/>
    <w:basedOn w:val="Normal"/>
    <w:next w:val="Normal"/>
    <w:link w:val="Heading1Char"/>
    <w:qFormat/>
    <w:rsid w:val="002839D7"/>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D75795"/>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D75795"/>
    <w:pPr>
      <w:ind w:left="360"/>
      <w:outlineLvl w:val="2"/>
    </w:pPr>
    <w:rPr>
      <w:rFonts w:eastAsiaTheme="majorEastAsia" w:cs="Arial"/>
      <w:b/>
      <w:i/>
    </w:rPr>
  </w:style>
  <w:style w:type="paragraph" w:styleId="Heading4">
    <w:name w:val="heading 4"/>
    <w:basedOn w:val="Normal"/>
    <w:next w:val="Normal"/>
    <w:link w:val="Heading4Char"/>
    <w:qFormat/>
    <w:rsid w:val="00D75795"/>
    <w:pPr>
      <w:keepNext/>
      <w:ind w:left="360"/>
      <w:outlineLvl w:val="3"/>
    </w:pPr>
    <w:rPr>
      <w:rFonts w:eastAsiaTheme="majorEastAsia" w:cstheme="majorBidi"/>
      <w:u w:val="single"/>
    </w:rPr>
  </w:style>
  <w:style w:type="paragraph" w:styleId="Heading5">
    <w:name w:val="heading 5"/>
    <w:basedOn w:val="Normal"/>
    <w:next w:val="Normal"/>
    <w:link w:val="Heading5Char"/>
    <w:qFormat/>
    <w:rsid w:val="00D75795"/>
    <w:pPr>
      <w:spacing w:before="240" w:after="60"/>
      <w:outlineLvl w:val="4"/>
    </w:pPr>
  </w:style>
  <w:style w:type="paragraph" w:styleId="Heading6">
    <w:name w:val="heading 6"/>
    <w:basedOn w:val="Normal"/>
    <w:next w:val="Normal"/>
    <w:link w:val="Heading6Char"/>
    <w:qFormat/>
    <w:rsid w:val="00D75795"/>
    <w:pPr>
      <w:spacing w:before="240" w:after="60"/>
      <w:outlineLvl w:val="5"/>
    </w:pPr>
    <w:rPr>
      <w:rFonts w:ascii="Times New Roman" w:hAnsi="Times New Roman"/>
      <w:i/>
    </w:rPr>
  </w:style>
  <w:style w:type="paragraph" w:styleId="Heading7">
    <w:name w:val="heading 7"/>
    <w:basedOn w:val="Normal"/>
    <w:next w:val="Normal"/>
    <w:link w:val="Heading7Char"/>
    <w:qFormat/>
    <w:rsid w:val="00D75795"/>
    <w:pPr>
      <w:spacing w:before="240" w:after="60"/>
      <w:outlineLvl w:val="6"/>
    </w:pPr>
    <w:rPr>
      <w:sz w:val="20"/>
    </w:rPr>
  </w:style>
  <w:style w:type="paragraph" w:styleId="Heading8">
    <w:name w:val="heading 8"/>
    <w:basedOn w:val="Normal"/>
    <w:next w:val="Normal"/>
    <w:link w:val="Heading8Char"/>
    <w:qFormat/>
    <w:rsid w:val="00D75795"/>
    <w:pPr>
      <w:spacing w:before="240" w:after="60"/>
      <w:outlineLvl w:val="7"/>
    </w:pPr>
    <w:rPr>
      <w:i/>
      <w:sz w:val="20"/>
    </w:rPr>
  </w:style>
  <w:style w:type="paragraph" w:styleId="Heading9">
    <w:name w:val="heading 9"/>
    <w:basedOn w:val="Normal"/>
    <w:next w:val="Normal"/>
    <w:link w:val="Heading9Char"/>
    <w:qFormat/>
    <w:rsid w:val="00D75795"/>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795"/>
    <w:pPr>
      <w:ind w:left="720"/>
    </w:pPr>
  </w:style>
  <w:style w:type="character" w:customStyle="1" w:styleId="Heading1Char">
    <w:name w:val="Heading 1 Char"/>
    <w:basedOn w:val="DefaultParagraphFont"/>
    <w:link w:val="Heading1"/>
    <w:rsid w:val="002839D7"/>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E140F2"/>
    <w:rPr>
      <w:rFonts w:ascii="Arial" w:eastAsiaTheme="majorEastAsia" w:hAnsi="Arial" w:cs="Arial"/>
      <w:b/>
      <w:sz w:val="24"/>
    </w:rPr>
  </w:style>
  <w:style w:type="character" w:customStyle="1" w:styleId="Heading3Char">
    <w:name w:val="Heading 3 Char"/>
    <w:basedOn w:val="DefaultParagraphFont"/>
    <w:link w:val="Heading3"/>
    <w:rsid w:val="0019301D"/>
    <w:rPr>
      <w:rFonts w:ascii="Arial" w:eastAsiaTheme="majorEastAsia" w:hAnsi="Arial" w:cs="Arial"/>
      <w:b/>
      <w:i/>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D75795"/>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D75795"/>
    <w:pPr>
      <w:tabs>
        <w:tab w:val="right" w:leader="dot" w:pos="9350"/>
      </w:tabs>
      <w:spacing w:after="0"/>
      <w:ind w:left="0"/>
    </w:pPr>
    <w:rPr>
      <w:iCs/>
    </w:rPr>
  </w:style>
  <w:style w:type="paragraph" w:styleId="TOC2">
    <w:name w:val="toc 2"/>
    <w:basedOn w:val="Normal"/>
    <w:next w:val="Normal"/>
    <w:autoRedefine/>
    <w:uiPriority w:val="39"/>
    <w:semiHidden/>
    <w:unhideWhenUsed/>
    <w:rsid w:val="00D75795"/>
    <w:pPr>
      <w:spacing w:after="100"/>
      <w:ind w:left="200"/>
    </w:pPr>
  </w:style>
  <w:style w:type="character" w:customStyle="1" w:styleId="Heading5Char">
    <w:name w:val="Heading 5 Char"/>
    <w:basedOn w:val="DefaultParagraphFont"/>
    <w:link w:val="Heading5"/>
    <w:rsid w:val="00D75795"/>
    <w:rPr>
      <w:rFonts w:ascii="Arial" w:hAnsi="Arial"/>
      <w:sz w:val="22"/>
    </w:rPr>
  </w:style>
  <w:style w:type="character" w:customStyle="1" w:styleId="Heading6Char">
    <w:name w:val="Heading 6 Char"/>
    <w:basedOn w:val="DefaultParagraphFont"/>
    <w:link w:val="Heading6"/>
    <w:rsid w:val="00D75795"/>
    <w:rPr>
      <w:i/>
      <w:sz w:val="22"/>
    </w:rPr>
  </w:style>
  <w:style w:type="character" w:customStyle="1" w:styleId="Heading7Char">
    <w:name w:val="Heading 7 Char"/>
    <w:basedOn w:val="DefaultParagraphFont"/>
    <w:link w:val="Heading7"/>
    <w:rsid w:val="00D75795"/>
    <w:rPr>
      <w:rFonts w:ascii="Arial" w:hAnsi="Arial"/>
    </w:rPr>
  </w:style>
  <w:style w:type="character" w:customStyle="1" w:styleId="Heading8Char">
    <w:name w:val="Heading 8 Char"/>
    <w:basedOn w:val="DefaultParagraphFont"/>
    <w:link w:val="Heading8"/>
    <w:rsid w:val="00D75795"/>
    <w:rPr>
      <w:rFonts w:ascii="Arial" w:hAnsi="Arial"/>
      <w:i/>
    </w:rPr>
  </w:style>
  <w:style w:type="character" w:customStyle="1" w:styleId="Heading9Char">
    <w:name w:val="Heading 9 Char"/>
    <w:basedOn w:val="DefaultParagraphFont"/>
    <w:link w:val="Heading9"/>
    <w:rsid w:val="00D75795"/>
    <w:rPr>
      <w:rFonts w:ascii="Arial" w:hAnsi="Arial" w:cs="Arial"/>
      <w:b/>
      <w:i/>
      <w:sz w:val="18"/>
    </w:rPr>
  </w:style>
  <w:style w:type="paragraph" w:styleId="Caption">
    <w:name w:val="caption"/>
    <w:basedOn w:val="Normal"/>
    <w:next w:val="Normal"/>
    <w:qFormat/>
    <w:rsid w:val="00D75795"/>
    <w:pPr>
      <w:spacing w:before="120" w:after="120"/>
    </w:pPr>
    <w:rPr>
      <w:b/>
      <w:bCs/>
      <w:sz w:val="20"/>
    </w:rPr>
  </w:style>
  <w:style w:type="paragraph" w:styleId="Title">
    <w:name w:val="Title"/>
    <w:basedOn w:val="Normal"/>
    <w:link w:val="TitleChar"/>
    <w:qFormat/>
    <w:rsid w:val="00D75795"/>
    <w:pPr>
      <w:ind w:right="220"/>
      <w:jc w:val="center"/>
    </w:pPr>
    <w:rPr>
      <w:b/>
      <w:sz w:val="32"/>
      <w:u w:val="single"/>
    </w:rPr>
  </w:style>
  <w:style w:type="character" w:customStyle="1" w:styleId="TitleChar">
    <w:name w:val="Title Char"/>
    <w:basedOn w:val="DefaultParagraphFont"/>
    <w:link w:val="Title"/>
    <w:rsid w:val="00D75795"/>
    <w:rPr>
      <w:rFonts w:ascii="Arial" w:hAnsi="Arial"/>
      <w:b/>
      <w:sz w:val="32"/>
      <w:u w:val="single"/>
    </w:rPr>
  </w:style>
  <w:style w:type="paragraph" w:styleId="Subtitle">
    <w:name w:val="Subtitle"/>
    <w:basedOn w:val="Normal"/>
    <w:link w:val="SubtitleChar"/>
    <w:qFormat/>
    <w:rsid w:val="00D75795"/>
    <w:pPr>
      <w:spacing w:after="60"/>
      <w:jc w:val="center"/>
      <w:outlineLvl w:val="1"/>
    </w:pPr>
    <w:rPr>
      <w:rFonts w:cs="Arial"/>
      <w:sz w:val="24"/>
      <w:szCs w:val="24"/>
    </w:rPr>
  </w:style>
  <w:style w:type="character" w:customStyle="1" w:styleId="SubtitleChar">
    <w:name w:val="Subtitle Char"/>
    <w:basedOn w:val="DefaultParagraphFont"/>
    <w:link w:val="Subtitle"/>
    <w:rsid w:val="00D75795"/>
    <w:rPr>
      <w:rFonts w:ascii="Arial" w:hAnsi="Arial" w:cs="Arial"/>
      <w:sz w:val="24"/>
      <w:szCs w:val="24"/>
    </w:rPr>
  </w:style>
  <w:style w:type="character" w:styleId="Strong">
    <w:name w:val="Strong"/>
    <w:basedOn w:val="DefaultParagraphFont"/>
    <w:qFormat/>
    <w:rsid w:val="00D75795"/>
    <w:rPr>
      <w:b/>
      <w:bCs/>
    </w:rPr>
  </w:style>
  <w:style w:type="paragraph" w:styleId="TOC1">
    <w:name w:val="toc 1"/>
    <w:basedOn w:val="Normal"/>
    <w:next w:val="Normal"/>
    <w:autoRedefine/>
    <w:uiPriority w:val="39"/>
    <w:unhideWhenUsed/>
    <w:rsid w:val="00753205"/>
    <w:pPr>
      <w:tabs>
        <w:tab w:val="right" w:leader="dot" w:pos="9350"/>
      </w:tabs>
      <w:spacing w:before="120"/>
    </w:pPr>
    <w:rPr>
      <w:b/>
      <w:caps/>
    </w:rPr>
  </w:style>
  <w:style w:type="character" w:styleId="Hyperlink">
    <w:name w:val="Hyperlink"/>
    <w:basedOn w:val="DefaultParagraphFont"/>
    <w:uiPriority w:val="99"/>
    <w:unhideWhenUsed/>
    <w:rsid w:val="00B9752A"/>
    <w:rPr>
      <w:color w:val="0000FF" w:themeColor="hyperlink"/>
      <w:u w:val="single"/>
    </w:rPr>
  </w:style>
  <w:style w:type="table" w:customStyle="1" w:styleId="TableGrid1">
    <w:name w:val="Table Grid1"/>
    <w:basedOn w:val="TableNormal"/>
    <w:next w:val="TableGrid"/>
    <w:uiPriority w:val="59"/>
    <w:rsid w:val="004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17C0E"/>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217C0E"/>
    <w:pPr>
      <w:autoSpaceDE w:val="0"/>
      <w:autoSpaceDN w:val="0"/>
      <w:adjustRightInd w:val="0"/>
    </w:pPr>
    <w:rPr>
      <w:rFonts w:ascii="Futura Std Book" w:eastAsiaTheme="minorHAnsi" w:hAnsi="Futura Std Book" w:cs="Futura Std Book"/>
      <w:color w:val="000000"/>
      <w:sz w:val="24"/>
      <w:szCs w:val="24"/>
    </w:rPr>
  </w:style>
  <w:style w:type="paragraph" w:styleId="NoSpacing">
    <w:name w:val="No Spacing"/>
    <w:uiPriority w:val="1"/>
    <w:qFormat/>
    <w:rsid w:val="008A2E1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82EA5"/>
    <w:pPr>
      <w:widowControl w:val="0"/>
      <w:autoSpaceDE w:val="0"/>
      <w:autoSpaceDN w:val="0"/>
    </w:pPr>
    <w:rPr>
      <w:rFonts w:ascii="Times New Roman" w:hAnsi="Times New Roman"/>
      <w:szCs w:val="22"/>
    </w:rPr>
  </w:style>
  <w:style w:type="paragraph" w:styleId="NormalWeb">
    <w:name w:val="Normal (Web)"/>
    <w:basedOn w:val="Normal"/>
    <w:uiPriority w:val="99"/>
    <w:semiHidden/>
    <w:unhideWhenUsed/>
    <w:rsid w:val="00D5652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27DA6"/>
    <w:rPr>
      <w:i/>
      <w:iCs/>
    </w:rPr>
  </w:style>
  <w:style w:type="paragraph" w:customStyle="1" w:styleId="indent1">
    <w:name w:val="indent1"/>
    <w:basedOn w:val="Normal"/>
    <w:rsid w:val="00527DA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1D77D4"/>
    <w:rPr>
      <w:color w:val="605E5C"/>
      <w:shd w:val="clear" w:color="auto" w:fill="E1DFDD"/>
    </w:rPr>
  </w:style>
  <w:style w:type="character" w:styleId="FollowedHyperlink">
    <w:name w:val="FollowedHyperlink"/>
    <w:basedOn w:val="DefaultParagraphFont"/>
    <w:uiPriority w:val="99"/>
    <w:semiHidden/>
    <w:unhideWhenUsed/>
    <w:rsid w:val="001D7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1366180221">
          <w:marLeft w:val="0"/>
          <w:marRight w:val="0"/>
          <w:marTop w:val="0"/>
          <w:marBottom w:val="0"/>
          <w:divBdr>
            <w:top w:val="none" w:sz="0" w:space="0" w:color="auto"/>
            <w:left w:val="none" w:sz="0" w:space="0" w:color="auto"/>
            <w:bottom w:val="none" w:sz="0" w:space="0" w:color="auto"/>
            <w:right w:val="none" w:sz="0" w:space="0" w:color="auto"/>
          </w:divBdr>
        </w:div>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s.wa.gov/administration/annual-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rs.wa.gov./administrations/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756A-7A5F-452D-889D-BBC7962E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Cash-Basis OCBOA Financial Statement Notes Template</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Cash-Basis OCBOA Financial Statement Notes Template</dc:title>
  <dc:creator>SAFS OSPI</dc:creator>
  <cp:keywords>Notes to the Financial Statements</cp:keywords>
  <cp:lastModifiedBy>Paul Stone</cp:lastModifiedBy>
  <cp:revision>7</cp:revision>
  <cp:lastPrinted>2016-10-25T16:49:00Z</cp:lastPrinted>
  <dcterms:created xsi:type="dcterms:W3CDTF">2024-10-30T20:34:00Z</dcterms:created>
  <dcterms:modified xsi:type="dcterms:W3CDTF">2024-10-31T21:32:00Z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2024-10-30T20:34:35Z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e78edd52-fc35-480e-8679-ff9bda2f0a26</vt:lpwstr>
  </property>
  <property fmtid="{D5CDD505-2E9C-101B-9397-08002B2CF9AE}" pid="8" name="MSIP_Label_9145f431-4c8c-42c6-a5a5-ba6d3bdea585_ContentBits">
    <vt:lpwstr>0</vt:lpwstr>
  </property>
</Properties>
</file>