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6C59E3" w:rsidRDefault="001F5716" w:rsidP="001F5716">
      <w:pPr>
        <w:pStyle w:val="Default"/>
        <w:rPr>
          <w:rFonts w:ascii="Segoe UI" w:hAnsi="Segoe UI" w:cs="Segoe UI"/>
          <w:sz w:val="22"/>
          <w:szCs w:val="22"/>
        </w:rPr>
      </w:pPr>
    </w:p>
    <w:p w14:paraId="49880C2E"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51"/>
        <w:gridCol w:w="6599"/>
      </w:tblGrid>
      <w:tr w:rsidR="00F970F2" w:rsidRPr="006C59E3" w14:paraId="01D03225" w14:textId="77777777" w:rsidTr="00F970F2">
        <w:tc>
          <w:tcPr>
            <w:tcW w:w="5000" w:type="pct"/>
            <w:gridSpan w:val="2"/>
            <w:shd w:val="clear" w:color="auto" w:fill="FBC639"/>
            <w:vAlign w:val="center"/>
          </w:tcPr>
          <w:p w14:paraId="0348256B"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CONSULTANT INFORMATION</w:t>
            </w:r>
          </w:p>
        </w:tc>
      </w:tr>
      <w:tr w:rsidR="00F970F2" w:rsidRPr="006C59E3" w14:paraId="658CFD9B" w14:textId="77777777" w:rsidTr="00723862">
        <w:trPr>
          <w:trHeight w:val="485"/>
        </w:trPr>
        <w:tc>
          <w:tcPr>
            <w:tcW w:w="1471" w:type="pct"/>
            <w:vAlign w:val="center"/>
          </w:tcPr>
          <w:p w14:paraId="2B2078BB" w14:textId="6B101D04" w:rsidR="00F970F2" w:rsidRPr="006C59E3" w:rsidRDefault="00D0125F" w:rsidP="00723862">
            <w:pPr>
              <w:ind w:left="90"/>
              <w:rPr>
                <w:rFonts w:ascii="Segoe UI" w:hAnsi="Segoe UI" w:cs="Segoe UI"/>
                <w:b w:val="0"/>
                <w:bCs/>
                <w:sz w:val="22"/>
                <w:szCs w:val="22"/>
              </w:rPr>
            </w:pPr>
            <w:r w:rsidRPr="006C59E3">
              <w:rPr>
                <w:rFonts w:ascii="Segoe UI" w:hAnsi="Segoe UI" w:cs="Segoe UI"/>
                <w:bCs/>
                <w:sz w:val="22"/>
                <w:szCs w:val="22"/>
              </w:rPr>
              <w:t>Bidder</w:t>
            </w:r>
            <w:r w:rsidR="00F970F2" w:rsidRPr="006C59E3">
              <w:rPr>
                <w:rFonts w:ascii="Segoe UI" w:hAnsi="Segoe UI" w:cs="Segoe UI"/>
                <w:bCs/>
                <w:sz w:val="22"/>
                <w:szCs w:val="22"/>
              </w:rPr>
              <w:t xml:space="preserve">: </w:t>
            </w:r>
          </w:p>
        </w:tc>
        <w:tc>
          <w:tcPr>
            <w:tcW w:w="3529" w:type="pct"/>
            <w:vAlign w:val="center"/>
          </w:tcPr>
          <w:p w14:paraId="17C46CC2" w14:textId="0ABCE5B7" w:rsidR="00F970F2" w:rsidRPr="006C59E3" w:rsidRDefault="00D0125F" w:rsidP="00723862">
            <w:pPr>
              <w:rPr>
                <w:rFonts w:ascii="Segoe UI" w:hAnsi="Segoe UI" w:cs="Segoe UI"/>
                <w:sz w:val="22"/>
                <w:szCs w:val="22"/>
              </w:rPr>
            </w:pPr>
            <w:r w:rsidRPr="006C59E3">
              <w:rPr>
                <w:rFonts w:ascii="Segoe UI" w:hAnsi="Segoe UI" w:cs="Segoe UI"/>
                <w:sz w:val="22"/>
                <w:szCs w:val="22"/>
              </w:rPr>
              <w:t xml:space="preserve">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p>
        </w:tc>
      </w:tr>
    </w:tbl>
    <w:p w14:paraId="3D493536"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452F4C40" w14:textId="77777777" w:rsidTr="00F970F2">
        <w:tc>
          <w:tcPr>
            <w:tcW w:w="5000" w:type="pct"/>
            <w:shd w:val="clear" w:color="auto" w:fill="FBC639"/>
            <w:vAlign w:val="center"/>
          </w:tcPr>
          <w:p w14:paraId="3C8B4052"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MINIMUM QUALIFICATIONS</w:t>
            </w:r>
          </w:p>
        </w:tc>
      </w:tr>
      <w:tr w:rsidR="00F970F2" w:rsidRPr="006C59E3" w14:paraId="7BC162ED" w14:textId="77777777" w:rsidTr="00D0125F">
        <w:trPr>
          <w:trHeight w:val="1322"/>
        </w:trPr>
        <w:tc>
          <w:tcPr>
            <w:tcW w:w="5000" w:type="pct"/>
            <w:vAlign w:val="center"/>
          </w:tcPr>
          <w:p w14:paraId="428D1183" w14:textId="77777777" w:rsidR="00F970F2" w:rsidRPr="006C59E3" w:rsidRDefault="00F970F2" w:rsidP="00723862">
            <w:pPr>
              <w:pStyle w:val="Default"/>
              <w:ind w:left="450" w:hanging="360"/>
              <w:jc w:val="both"/>
              <w:rPr>
                <w:rFonts w:ascii="Segoe UI" w:hAnsi="Segoe UI" w:cs="Segoe UI"/>
                <w:b/>
                <w:i/>
                <w:sz w:val="22"/>
                <w:szCs w:val="22"/>
                <w:u w:val="single"/>
              </w:rPr>
            </w:pPr>
            <w:r w:rsidRPr="006C59E3">
              <w:rPr>
                <w:rFonts w:ascii="Segoe UI" w:hAnsi="Segoe UI" w:cs="Segoe UI"/>
                <w:i/>
                <w:sz w:val="22"/>
                <w:szCs w:val="22"/>
              </w:rPr>
              <w:t>Please check all boxes that apply.</w:t>
            </w:r>
          </w:p>
          <w:p w14:paraId="3DE75739" w14:textId="77777777" w:rsidR="003A6721" w:rsidRDefault="003A6721" w:rsidP="003A6721">
            <w:pPr>
              <w:pStyle w:val="Default"/>
              <w:ind w:left="90" w:right="166"/>
              <w:jc w:val="both"/>
              <w:rPr>
                <w:rFonts w:ascii="Segoe UI" w:hAnsi="Segoe UI" w:cs="Segoe UI"/>
                <w:sz w:val="22"/>
                <w:szCs w:val="22"/>
              </w:rPr>
            </w:pPr>
            <w:r w:rsidRPr="003866A3">
              <w:rPr>
                <w:rFonts w:ascii="Segoe UI" w:hAnsi="Segoe UI" w:cs="Segoe UI"/>
                <w:sz w:val="22"/>
                <w:szCs w:val="22"/>
              </w:rPr>
              <w:fldChar w:fldCharType="begin">
                <w:ffData>
                  <w:name w:val="Check2"/>
                  <w:enabled/>
                  <w:calcOnExit w:val="0"/>
                  <w:checkBox>
                    <w:sizeAuto/>
                    <w:default w:val="0"/>
                  </w:checkBox>
                </w:ffData>
              </w:fldChar>
            </w:r>
            <w:r w:rsidRPr="003866A3">
              <w:rPr>
                <w:rFonts w:ascii="Segoe UI" w:hAnsi="Segoe UI" w:cs="Segoe UI"/>
                <w:sz w:val="22"/>
                <w:szCs w:val="22"/>
              </w:rPr>
              <w:instrText xml:space="preserve"> FORMCHECKBOX </w:instrText>
            </w:r>
            <w:r w:rsidRPr="003866A3">
              <w:rPr>
                <w:rFonts w:ascii="Segoe UI" w:hAnsi="Segoe UI" w:cs="Segoe UI"/>
                <w:sz w:val="22"/>
                <w:szCs w:val="22"/>
              </w:rPr>
            </w:r>
            <w:r w:rsidRPr="003866A3">
              <w:rPr>
                <w:rFonts w:ascii="Segoe UI" w:hAnsi="Segoe UI" w:cs="Segoe UI"/>
                <w:sz w:val="22"/>
                <w:szCs w:val="22"/>
              </w:rPr>
              <w:fldChar w:fldCharType="separate"/>
            </w:r>
            <w:r w:rsidRPr="003866A3">
              <w:rPr>
                <w:rFonts w:ascii="Segoe UI" w:hAnsi="Segoe UI" w:cs="Segoe UI"/>
                <w:sz w:val="22"/>
                <w:szCs w:val="22"/>
              </w:rPr>
              <w:fldChar w:fldCharType="end"/>
            </w:r>
            <w:r w:rsidRPr="003866A3">
              <w:rPr>
                <w:rFonts w:ascii="Segoe UI" w:hAnsi="Segoe UI" w:cs="Segoe UI"/>
                <w:sz w:val="22"/>
                <w:szCs w:val="22"/>
              </w:rPr>
              <w:t xml:space="preserve"> Licensed to do business in the State of Washington.  If not licensed, provide a written intent to become licensed in Washington within thirty (30) calendar days of being selected as the Apparently Successful Contractor.</w:t>
            </w:r>
          </w:p>
          <w:p w14:paraId="6F09FEDF" w14:textId="77777777" w:rsidR="003A6721" w:rsidRPr="005F7EAA" w:rsidRDefault="003A6721" w:rsidP="003A6721">
            <w:pPr>
              <w:ind w:left="90" w:right="166"/>
              <w:jc w:val="both"/>
            </w:pPr>
          </w:p>
          <w:p w14:paraId="6D8390B1"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Master’s and/or doctorate degree in education or a related field. </w:t>
            </w:r>
          </w:p>
          <w:p w14:paraId="6B52D4DA" w14:textId="77777777" w:rsidR="003A6721" w:rsidRPr="003A6721" w:rsidRDefault="003A6721" w:rsidP="003A6721">
            <w:pPr>
              <w:pStyle w:val="Default"/>
              <w:ind w:left="90" w:right="166"/>
              <w:jc w:val="both"/>
              <w:rPr>
                <w:rFonts w:ascii="Segoe UI" w:hAnsi="Segoe UI" w:cs="Segoe UI"/>
                <w:sz w:val="22"/>
                <w:szCs w:val="22"/>
              </w:rPr>
            </w:pPr>
          </w:p>
          <w:p w14:paraId="63BCA774"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Proof of past or present K-12 teaching and/or administrative certification. A copy of past or present K-12 teaching and/or administrative certification is required.</w:t>
            </w:r>
          </w:p>
          <w:p w14:paraId="5770FB82" w14:textId="77777777" w:rsidR="003A6721" w:rsidRPr="003A6721" w:rsidRDefault="003A6721" w:rsidP="003A6721">
            <w:pPr>
              <w:pStyle w:val="Default"/>
              <w:ind w:left="90" w:right="166"/>
              <w:jc w:val="both"/>
              <w:rPr>
                <w:rFonts w:ascii="Segoe UI" w:hAnsi="Segoe UI" w:cs="Segoe UI"/>
                <w:sz w:val="22"/>
                <w:szCs w:val="22"/>
              </w:rPr>
            </w:pPr>
          </w:p>
          <w:p w14:paraId="246D996C"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Ability to travel to and within the region of assignment, and to attend all required activities both virtually and in-person.</w:t>
            </w:r>
          </w:p>
          <w:p w14:paraId="1BA38CFE" w14:textId="77777777" w:rsidR="003A6721" w:rsidRPr="003A6721" w:rsidRDefault="003A6721" w:rsidP="003A6721">
            <w:pPr>
              <w:pStyle w:val="Default"/>
              <w:ind w:left="90" w:right="166"/>
              <w:jc w:val="both"/>
              <w:rPr>
                <w:rFonts w:ascii="Segoe UI" w:hAnsi="Segoe UI" w:cs="Segoe UI"/>
                <w:sz w:val="22"/>
                <w:szCs w:val="22"/>
              </w:rPr>
            </w:pPr>
          </w:p>
          <w:p w14:paraId="6C64AE0F"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At least five (5) years of experience working in an educational leadership role at the state, educational service district, district, or school level (including leadership coaching or development), the majority of which has occurred in the past seven years.</w:t>
            </w:r>
          </w:p>
          <w:p w14:paraId="6D7661B8" w14:textId="77777777" w:rsidR="003A6721" w:rsidRPr="003A6721" w:rsidRDefault="003A6721" w:rsidP="003A6721">
            <w:pPr>
              <w:pStyle w:val="Default"/>
              <w:ind w:left="90" w:right="166"/>
              <w:jc w:val="both"/>
              <w:rPr>
                <w:rFonts w:ascii="Segoe UI" w:hAnsi="Segoe UI" w:cs="Segoe UI"/>
                <w:sz w:val="22"/>
                <w:szCs w:val="22"/>
              </w:rPr>
            </w:pPr>
          </w:p>
          <w:p w14:paraId="718FBBD0"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Proficiency using Microsoft Office Suite, especially Microsoft Word, Excel and PowerPoint</w:t>
            </w:r>
          </w:p>
          <w:p w14:paraId="32251106" w14:textId="77777777" w:rsidR="003A6721" w:rsidRPr="003A6721" w:rsidRDefault="003A6721" w:rsidP="003A6721">
            <w:pPr>
              <w:pStyle w:val="Default"/>
              <w:ind w:left="90" w:right="166"/>
              <w:jc w:val="both"/>
              <w:rPr>
                <w:rFonts w:ascii="Segoe UI" w:hAnsi="Segoe UI" w:cs="Segoe UI"/>
                <w:sz w:val="22"/>
                <w:szCs w:val="22"/>
              </w:rPr>
            </w:pPr>
          </w:p>
          <w:p w14:paraId="530AF3C3"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Proficiency using and facilitating virtual meeting programs, such as Zoom.</w:t>
            </w:r>
          </w:p>
          <w:p w14:paraId="71CF7B23" w14:textId="77777777" w:rsidR="000276E2" w:rsidRDefault="000276E2" w:rsidP="006C59E3">
            <w:pPr>
              <w:pStyle w:val="Default"/>
              <w:ind w:left="450" w:right="168" w:hanging="360"/>
              <w:jc w:val="both"/>
              <w:rPr>
                <w:rFonts w:ascii="Segoe UI" w:hAnsi="Segoe UI" w:cs="Segoe UI"/>
                <w:sz w:val="22"/>
                <w:szCs w:val="22"/>
              </w:rPr>
            </w:pPr>
          </w:p>
          <w:p w14:paraId="1331E240" w14:textId="73A72E88" w:rsidR="000276E2" w:rsidRPr="000276E2" w:rsidRDefault="000276E2" w:rsidP="000276E2">
            <w:pPr>
              <w:tabs>
                <w:tab w:val="left" w:pos="-720"/>
                <w:tab w:val="num" w:pos="1080"/>
                <w:tab w:val="left" w:pos="1440"/>
                <w:tab w:val="left" w:pos="1800"/>
                <w:tab w:val="left" w:pos="2160"/>
                <w:tab w:val="left" w:pos="2520"/>
                <w:tab w:val="left" w:pos="2880"/>
              </w:tabs>
              <w:ind w:left="90" w:right="166"/>
              <w:jc w:val="both"/>
              <w:rPr>
                <w:rFonts w:ascii="Segoe UI" w:hAnsi="Segoe UI" w:cs="Segoe UI"/>
                <w:sz w:val="22"/>
                <w:szCs w:val="22"/>
              </w:rPr>
            </w:pPr>
            <w:r w:rsidRPr="000276E2">
              <w:rPr>
                <w:rFonts w:ascii="Segoe UI" w:hAnsi="Segoe UI" w:cs="Segoe UI"/>
                <w:sz w:val="22"/>
                <w:szCs w:val="22"/>
              </w:rPr>
              <w:t>Consultants who do not meet the minimum qualifications noted above will be rejected as non-responsive and will not receive further consideration.  Any proposal that is rejected as non-responsive will not be evaluated or scored.</w:t>
            </w:r>
          </w:p>
        </w:tc>
      </w:tr>
    </w:tbl>
    <w:p w14:paraId="44FD0859"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62CD27D9" w14:textId="77777777" w:rsidTr="00F970F2">
        <w:tc>
          <w:tcPr>
            <w:tcW w:w="5000" w:type="pct"/>
            <w:shd w:val="clear" w:color="auto" w:fill="FBC639"/>
            <w:vAlign w:val="center"/>
          </w:tcPr>
          <w:p w14:paraId="1A77037A"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ADDITIONAL DESIRED QUALIFICATIONS</w:t>
            </w:r>
          </w:p>
        </w:tc>
      </w:tr>
      <w:tr w:rsidR="00F970F2" w:rsidRPr="006C59E3" w14:paraId="12D6E39E" w14:textId="77777777" w:rsidTr="00D0125F">
        <w:trPr>
          <w:trHeight w:val="2015"/>
        </w:trPr>
        <w:tc>
          <w:tcPr>
            <w:tcW w:w="5000" w:type="pct"/>
            <w:vAlign w:val="center"/>
          </w:tcPr>
          <w:p w14:paraId="737EA970" w14:textId="77777777" w:rsidR="00F970F2" w:rsidRPr="006C59E3" w:rsidRDefault="00F970F2" w:rsidP="00723862">
            <w:pPr>
              <w:pStyle w:val="Default"/>
              <w:ind w:left="450" w:hanging="360"/>
              <w:jc w:val="both"/>
              <w:rPr>
                <w:rFonts w:ascii="Segoe UI" w:hAnsi="Segoe UI" w:cs="Segoe UI"/>
                <w:i/>
                <w:sz w:val="22"/>
                <w:szCs w:val="22"/>
                <w:u w:val="single"/>
              </w:rPr>
            </w:pPr>
            <w:r w:rsidRPr="006C59E3">
              <w:rPr>
                <w:rFonts w:ascii="Segoe UI" w:hAnsi="Segoe UI" w:cs="Segoe UI"/>
                <w:i/>
                <w:sz w:val="22"/>
                <w:szCs w:val="22"/>
              </w:rPr>
              <w:t>Please check all boxes that apply.</w:t>
            </w:r>
          </w:p>
          <w:p w14:paraId="451D9B19" w14:textId="77777777" w:rsidR="003A6721" w:rsidRPr="003A6721" w:rsidRDefault="003A6721" w:rsidP="003A6721">
            <w:pPr>
              <w:pStyle w:val="Default"/>
              <w:ind w:left="90" w:right="166"/>
              <w:jc w:val="both"/>
              <w:rPr>
                <w:rFonts w:ascii="Segoe UI" w:hAnsi="Segoe UI" w:cs="Segoe UI"/>
                <w:sz w:val="22"/>
                <w:szCs w:val="22"/>
              </w:rPr>
            </w:pPr>
            <w:r w:rsidRPr="003866A3">
              <w:fldChar w:fldCharType="begin">
                <w:ffData>
                  <w:name w:val="Check2"/>
                  <w:enabled/>
                  <w:calcOnExit w:val="0"/>
                  <w:checkBox>
                    <w:sizeAuto/>
                    <w:default w:val="0"/>
                  </w:checkBox>
                </w:ffData>
              </w:fldChar>
            </w:r>
            <w:r w:rsidRPr="003866A3">
              <w:instrText xml:space="preserve"> FORMCHECKBOX </w:instrText>
            </w:r>
            <w:r w:rsidRPr="003866A3">
              <w:fldChar w:fldCharType="separate"/>
            </w:r>
            <w:r w:rsidRPr="003866A3">
              <w:fldChar w:fldCharType="end"/>
            </w:r>
            <w:r w:rsidRPr="003866A3">
              <w:t xml:space="preserve"> </w:t>
            </w:r>
            <w:r w:rsidRPr="003A6721">
              <w:rPr>
                <w:rFonts w:ascii="Segoe UI" w:hAnsi="Segoe UI" w:cs="Segoe UI"/>
                <w:sz w:val="22"/>
                <w:szCs w:val="22"/>
              </w:rPr>
              <w:t>Multi-year experience leading and/or coaching district and school leadership in systemic improvement processes (i.e., improvement and/or implementation science), specifically focused on initiatives involving anti-racism, closing equity gaps, and/or improving student outcomes in both social-emotional and academic contexts.</w:t>
            </w:r>
          </w:p>
          <w:p w14:paraId="2157761A" w14:textId="77777777" w:rsidR="003A6721" w:rsidRPr="003A6721" w:rsidRDefault="003A6721" w:rsidP="003A6721">
            <w:pPr>
              <w:pStyle w:val="Default"/>
              <w:ind w:left="90" w:right="166"/>
              <w:jc w:val="both"/>
              <w:rPr>
                <w:rFonts w:ascii="Segoe UI" w:hAnsi="Segoe UI" w:cs="Segoe UI"/>
                <w:sz w:val="22"/>
                <w:szCs w:val="22"/>
              </w:rPr>
            </w:pPr>
          </w:p>
          <w:p w14:paraId="335A9917"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Competence in interpreting and using student, school, district and state-level data to inform decisions and continuous school improvement efforts through data inquiry.</w:t>
            </w:r>
          </w:p>
          <w:p w14:paraId="35AFD26F" w14:textId="77777777" w:rsidR="003A6721" w:rsidRPr="003A6721" w:rsidRDefault="003A6721" w:rsidP="003A6721">
            <w:pPr>
              <w:pStyle w:val="Default"/>
              <w:ind w:left="90" w:right="166"/>
              <w:jc w:val="both"/>
              <w:rPr>
                <w:rFonts w:ascii="Segoe UI" w:hAnsi="Segoe UI" w:cs="Segoe UI"/>
                <w:sz w:val="22"/>
                <w:szCs w:val="22"/>
              </w:rPr>
            </w:pPr>
          </w:p>
          <w:p w14:paraId="3528C650"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Experience implementing research-informed multi-tiered systems of support to address student academic and non-academic needs at building and district levels.</w:t>
            </w:r>
          </w:p>
          <w:p w14:paraId="784CCAAB" w14:textId="77777777" w:rsidR="003A6721" w:rsidRPr="003A6721" w:rsidRDefault="003A6721" w:rsidP="003A6721">
            <w:pPr>
              <w:pStyle w:val="Default"/>
              <w:ind w:left="90" w:right="166"/>
              <w:jc w:val="both"/>
              <w:rPr>
                <w:rFonts w:ascii="Segoe UI" w:hAnsi="Segoe UI" w:cs="Segoe UI"/>
                <w:sz w:val="22"/>
                <w:szCs w:val="22"/>
              </w:rPr>
            </w:pPr>
          </w:p>
          <w:p w14:paraId="3507F9A2"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Demonstrated knowledge of K-12 learning standards, and formative, interim, and summative assessment delivery and use to measure students’ proficiency and growth to inform instructional practice and tiered supports.</w:t>
            </w:r>
          </w:p>
          <w:p w14:paraId="0E008AE7" w14:textId="77777777" w:rsidR="003A6721" w:rsidRPr="003A6721" w:rsidRDefault="003A6721" w:rsidP="003A6721">
            <w:pPr>
              <w:pStyle w:val="Default"/>
              <w:ind w:left="90" w:right="166"/>
              <w:jc w:val="both"/>
              <w:rPr>
                <w:rFonts w:ascii="Segoe UI" w:hAnsi="Segoe UI" w:cs="Segoe UI"/>
                <w:sz w:val="22"/>
                <w:szCs w:val="22"/>
              </w:rPr>
            </w:pPr>
          </w:p>
          <w:p w14:paraId="45DD8B98"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Demonstrated knowledge of school district structures, including, but not limited to, operations, teaching and learning, budgeting, collective bargaining agreements, and school improvement. </w:t>
            </w:r>
          </w:p>
          <w:p w14:paraId="5F413197" w14:textId="77777777" w:rsidR="003A6721" w:rsidRPr="003A6721" w:rsidRDefault="003A6721" w:rsidP="003A6721">
            <w:pPr>
              <w:pStyle w:val="Default"/>
              <w:ind w:left="90" w:right="166"/>
              <w:jc w:val="both"/>
              <w:rPr>
                <w:rFonts w:ascii="Segoe UI" w:hAnsi="Segoe UI" w:cs="Segoe UI"/>
                <w:sz w:val="22"/>
                <w:szCs w:val="22"/>
              </w:rPr>
            </w:pPr>
          </w:p>
          <w:p w14:paraId="631852DB"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Multi-year experience providing engaging and effective professional learning opportunities to large and small groups of educators, both in person and through virtual platforms (e.g. Zoom, Canvas, </w:t>
            </w:r>
            <w:proofErr w:type="spellStart"/>
            <w:r w:rsidRPr="003A6721">
              <w:rPr>
                <w:rFonts w:ascii="Segoe UI" w:hAnsi="Segoe UI" w:cs="Segoe UI"/>
                <w:sz w:val="22"/>
                <w:szCs w:val="22"/>
              </w:rPr>
              <w:t>WebEx</w:t>
            </w:r>
            <w:proofErr w:type="spellEnd"/>
            <w:r w:rsidRPr="003A6721">
              <w:rPr>
                <w:rFonts w:ascii="Segoe UI" w:hAnsi="Segoe UI" w:cs="Segoe UI"/>
                <w:sz w:val="22"/>
                <w:szCs w:val="22"/>
              </w:rPr>
              <w:t>, etc.)</w:t>
            </w:r>
          </w:p>
          <w:p w14:paraId="372F9611" w14:textId="77777777" w:rsidR="003A6721" w:rsidRPr="003A6721" w:rsidRDefault="003A6721" w:rsidP="003A6721">
            <w:pPr>
              <w:pStyle w:val="Default"/>
              <w:ind w:left="90" w:right="166"/>
              <w:jc w:val="both"/>
              <w:rPr>
                <w:rFonts w:ascii="Segoe UI" w:hAnsi="Segoe UI" w:cs="Segoe UI"/>
                <w:sz w:val="22"/>
                <w:szCs w:val="22"/>
              </w:rPr>
            </w:pPr>
          </w:p>
          <w:p w14:paraId="379CE357" w14:textId="77777777" w:rsidR="003A6721" w:rsidRPr="003A6721" w:rsidRDefault="003A6721" w:rsidP="003A6721">
            <w:pPr>
              <w:pStyle w:val="Default"/>
              <w:ind w:left="90" w:right="166"/>
              <w:jc w:val="both"/>
              <w:rPr>
                <w:rFonts w:ascii="Segoe UI" w:hAnsi="Segoe UI" w:cs="Segoe UI"/>
                <w:sz w:val="22"/>
                <w:szCs w:val="22"/>
              </w:rPr>
            </w:pPr>
            <w:r w:rsidRPr="003A6721">
              <w:rPr>
                <w:rFonts w:ascii="Segoe UI" w:hAnsi="Segoe UI" w:cs="Segoe UI"/>
                <w:sz w:val="22"/>
                <w:szCs w:val="22"/>
              </w:rPr>
              <w:fldChar w:fldCharType="begin">
                <w:ffData>
                  <w:name w:val="Check2"/>
                  <w:enabled/>
                  <w:calcOnExit w:val="0"/>
                  <w:checkBox>
                    <w:sizeAuto/>
                    <w:default w:val="0"/>
                  </w:checkBox>
                </w:ffData>
              </w:fldChar>
            </w:r>
            <w:r w:rsidRPr="003A6721">
              <w:rPr>
                <w:rFonts w:ascii="Segoe UI" w:hAnsi="Segoe UI" w:cs="Segoe UI"/>
                <w:sz w:val="22"/>
                <w:szCs w:val="22"/>
              </w:rPr>
              <w:instrText xml:space="preserve"> FORMCHECKBOX </w:instrText>
            </w:r>
            <w:r w:rsidRPr="003A6721">
              <w:rPr>
                <w:rFonts w:ascii="Segoe UI" w:hAnsi="Segoe UI" w:cs="Segoe UI"/>
                <w:sz w:val="22"/>
                <w:szCs w:val="22"/>
              </w:rPr>
            </w:r>
            <w:r w:rsidRPr="003A6721">
              <w:rPr>
                <w:rFonts w:ascii="Segoe UI" w:hAnsi="Segoe UI" w:cs="Segoe UI"/>
                <w:sz w:val="22"/>
                <w:szCs w:val="22"/>
              </w:rPr>
              <w:fldChar w:fldCharType="separate"/>
            </w:r>
            <w:r w:rsidRPr="003A6721">
              <w:rPr>
                <w:rFonts w:ascii="Segoe UI" w:hAnsi="Segoe UI" w:cs="Segoe UI"/>
                <w:sz w:val="22"/>
                <w:szCs w:val="22"/>
              </w:rPr>
              <w:fldChar w:fldCharType="end"/>
            </w:r>
            <w:r w:rsidRPr="003A6721">
              <w:rPr>
                <w:rFonts w:ascii="Segoe UI" w:hAnsi="Segoe UI" w:cs="Segoe UI"/>
                <w:sz w:val="22"/>
                <w:szCs w:val="22"/>
              </w:rPr>
              <w:t xml:space="preserve"> Multi-year experience in the following areas:</w:t>
            </w:r>
          </w:p>
          <w:p w14:paraId="18CA604B" w14:textId="77777777" w:rsidR="003A6721" w:rsidRPr="00D50E70" w:rsidRDefault="003A6721" w:rsidP="003A6721">
            <w:pPr>
              <w:pStyle w:val="ListParagraph"/>
              <w:widowControl w:val="0"/>
              <w:numPr>
                <w:ilvl w:val="1"/>
                <w:numId w:val="4"/>
              </w:numPr>
              <w:tabs>
                <w:tab w:val="left" w:pos="1540"/>
                <w:tab w:val="left" w:pos="1541"/>
              </w:tabs>
              <w:autoSpaceDE w:val="0"/>
              <w:autoSpaceDN w:val="0"/>
              <w:spacing w:after="0" w:line="240" w:lineRule="auto"/>
              <w:ind w:right="115"/>
              <w:contextualSpacing w:val="0"/>
            </w:pPr>
            <w:r w:rsidRPr="00D50E70">
              <w:t xml:space="preserve">building inclusive education systems to close equity gaps for student groups identified in the </w:t>
            </w:r>
            <w:proofErr w:type="gramStart"/>
            <w:r w:rsidRPr="00D50E70">
              <w:t>WSIF;</w:t>
            </w:r>
            <w:proofErr w:type="gramEnd"/>
            <w:r w:rsidRPr="00D50E70">
              <w:t xml:space="preserve"> </w:t>
            </w:r>
          </w:p>
          <w:p w14:paraId="26DCCF00" w14:textId="77777777" w:rsidR="003A6721" w:rsidRPr="00D50E70" w:rsidRDefault="003A6721" w:rsidP="003A6721">
            <w:pPr>
              <w:pStyle w:val="ListParagraph"/>
              <w:widowControl w:val="0"/>
              <w:numPr>
                <w:ilvl w:val="1"/>
                <w:numId w:val="4"/>
              </w:numPr>
              <w:tabs>
                <w:tab w:val="left" w:pos="1540"/>
                <w:tab w:val="left" w:pos="1541"/>
              </w:tabs>
              <w:autoSpaceDE w:val="0"/>
              <w:autoSpaceDN w:val="0"/>
              <w:spacing w:after="0" w:line="240" w:lineRule="auto"/>
              <w:ind w:right="116"/>
              <w:contextualSpacing w:val="0"/>
            </w:pPr>
            <w:r w:rsidRPr="00D50E70">
              <w:t>data use, visualization and modeling to inform equitable supports within continuous school improvement systems and school improvement</w:t>
            </w:r>
            <w:r w:rsidRPr="00D50E70">
              <w:rPr>
                <w:spacing w:val="-8"/>
              </w:rPr>
              <w:t xml:space="preserve"> </w:t>
            </w:r>
            <w:proofErr w:type="gramStart"/>
            <w:r w:rsidRPr="00D50E70">
              <w:t>plans;</w:t>
            </w:r>
            <w:proofErr w:type="gramEnd"/>
            <w:r w:rsidRPr="00D50E70">
              <w:t xml:space="preserve"> </w:t>
            </w:r>
          </w:p>
          <w:p w14:paraId="7FFDFDDA" w14:textId="77777777" w:rsidR="003A6721" w:rsidRPr="00D50E70" w:rsidRDefault="003A6721" w:rsidP="003A6721">
            <w:pPr>
              <w:pStyle w:val="ListParagraph"/>
              <w:widowControl w:val="0"/>
              <w:numPr>
                <w:ilvl w:val="1"/>
                <w:numId w:val="4"/>
              </w:numPr>
              <w:tabs>
                <w:tab w:val="left" w:pos="1540"/>
                <w:tab w:val="left" w:pos="1541"/>
              </w:tabs>
              <w:autoSpaceDE w:val="0"/>
              <w:autoSpaceDN w:val="0"/>
              <w:spacing w:after="0" w:line="240" w:lineRule="auto"/>
              <w:ind w:right="116"/>
              <w:contextualSpacing w:val="0"/>
            </w:pPr>
            <w:r w:rsidRPr="00D50E70">
              <w:t>executive-level coaching; and</w:t>
            </w:r>
          </w:p>
          <w:p w14:paraId="4E007FA4" w14:textId="77777777" w:rsidR="003A6721" w:rsidRPr="00D50E70" w:rsidRDefault="003A6721" w:rsidP="003A6721">
            <w:pPr>
              <w:pStyle w:val="ListParagraph"/>
              <w:widowControl w:val="0"/>
              <w:numPr>
                <w:ilvl w:val="1"/>
                <w:numId w:val="4"/>
              </w:numPr>
              <w:tabs>
                <w:tab w:val="left" w:pos="1540"/>
                <w:tab w:val="left" w:pos="1541"/>
              </w:tabs>
              <w:autoSpaceDE w:val="0"/>
              <w:autoSpaceDN w:val="0"/>
              <w:spacing w:after="0" w:line="240" w:lineRule="auto"/>
              <w:contextualSpacing w:val="0"/>
            </w:pPr>
            <w:r w:rsidRPr="00D50E70">
              <w:t>alternative or reengagement</w:t>
            </w:r>
            <w:r w:rsidRPr="00D50E70">
              <w:rPr>
                <w:spacing w:val="-3"/>
              </w:rPr>
              <w:t xml:space="preserve"> </w:t>
            </w:r>
            <w:r w:rsidRPr="00D50E70">
              <w:t>programs.</w:t>
            </w:r>
          </w:p>
          <w:p w14:paraId="41090A24" w14:textId="1D223A27" w:rsidR="00F970F2" w:rsidRPr="006C59E3" w:rsidRDefault="00F970F2" w:rsidP="006C59E3">
            <w:pPr>
              <w:ind w:left="90" w:right="168"/>
              <w:jc w:val="both"/>
              <w:rPr>
                <w:rFonts w:ascii="Segoe UI" w:hAnsi="Segoe UI" w:cs="Segoe UI"/>
                <w:sz w:val="22"/>
                <w:szCs w:val="22"/>
              </w:rPr>
            </w:pPr>
          </w:p>
        </w:tc>
      </w:tr>
    </w:tbl>
    <w:p w14:paraId="58E6E463" w14:textId="77777777" w:rsidR="00F970F2" w:rsidRPr="006C59E3" w:rsidRDefault="00F970F2" w:rsidP="00F970F2">
      <w:pPr>
        <w:pStyle w:val="ListParagraph"/>
        <w:keepNext/>
        <w:keepLines/>
        <w:tabs>
          <w:tab w:val="left" w:pos="-720"/>
          <w:tab w:val="left" w:pos="0"/>
        </w:tabs>
        <w:spacing w:after="0" w:line="240" w:lineRule="auto"/>
        <w:ind w:left="0"/>
        <w:jc w:val="center"/>
        <w:rPr>
          <w:b/>
          <w:caps/>
        </w:rPr>
      </w:pPr>
    </w:p>
    <w:p w14:paraId="2CD48873" w14:textId="107F46CA"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
          <w:iCs/>
          <w:sz w:val="22"/>
          <w:szCs w:val="22"/>
        </w:rPr>
      </w:pPr>
      <w:r w:rsidRPr="006C59E3">
        <w:rPr>
          <w:rFonts w:ascii="Segoe UI" w:hAnsi="Segoe UI" w:cs="Segoe UI"/>
          <w:i/>
          <w:iCs/>
          <w:sz w:val="22"/>
          <w:szCs w:val="22"/>
        </w:rPr>
        <w:t>I certify under penalty of perjury of the laws of the State of Washington that the foregoing is true and correct.</w:t>
      </w:r>
    </w:p>
    <w:p w14:paraId="7DCB7F95" w14:textId="77777777"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p>
    <w:p w14:paraId="70837F7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162E04D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bookmarkStart w:id="0" w:name="Text1"/>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bookmarkEnd w:id="0"/>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7E7D4947"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Signature of Bidder</w:t>
      </w:r>
      <w:r w:rsidRPr="006C59E3">
        <w:rPr>
          <w:rFonts w:ascii="Segoe UI" w:hAnsi="Segoe UI" w:cs="Segoe UI"/>
          <w:sz w:val="22"/>
          <w:szCs w:val="22"/>
        </w:rPr>
        <w:tab/>
      </w:r>
      <w:r w:rsidRPr="006C59E3">
        <w:rPr>
          <w:rFonts w:ascii="Segoe UI" w:hAnsi="Segoe UI" w:cs="Segoe UI"/>
          <w:sz w:val="22"/>
          <w:szCs w:val="22"/>
        </w:rPr>
        <w:tab/>
        <w:t>Date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Place Signed (City, State)</w:t>
      </w:r>
    </w:p>
    <w:p w14:paraId="2771356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3D1BBAEA"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6BDE89C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Printed Name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Title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Organization Name</w:t>
      </w:r>
    </w:p>
    <w:p w14:paraId="6B816A62" w14:textId="2D705560" w:rsidR="001F5716" w:rsidRPr="006C59E3"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01B3A647" w14:textId="77777777" w:rsidR="00940269" w:rsidRPr="006C59E3" w:rsidRDefault="00940269">
      <w:pPr>
        <w:rPr>
          <w:rFonts w:ascii="Segoe UI" w:hAnsi="Segoe UI" w:cs="Segoe UI"/>
          <w:sz w:val="22"/>
          <w:szCs w:val="22"/>
        </w:rPr>
      </w:pPr>
    </w:p>
    <w:sectPr w:rsidR="00940269" w:rsidRPr="006C59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CB05" w14:textId="21074D51" w:rsidR="00D0125F" w:rsidRPr="00D0125F" w:rsidRDefault="00D0125F">
    <w:pPr>
      <w:pStyle w:val="Footer"/>
      <w:rPr>
        <w:rFonts w:ascii="Segoe UI" w:hAnsi="Segoe UI" w:cs="Segoe UI"/>
        <w:b w:val="0"/>
        <w:bCs/>
        <w:sz w:val="20"/>
      </w:rPr>
    </w:pPr>
    <w:r w:rsidRPr="00E325D0">
      <w:rPr>
        <w:rFonts w:ascii="Segoe UI" w:hAnsi="Segoe UI" w:cs="Segoe UI"/>
        <w:b w:val="0"/>
        <w:bCs/>
        <w:sz w:val="20"/>
      </w:rPr>
      <w:t xml:space="preserve">Qualification Affirmations | </w:t>
    </w:r>
    <w:r>
      <w:rPr>
        <w:rFonts w:ascii="Segoe UI" w:hAnsi="Segoe UI" w:cs="Segoe UI"/>
        <w:b w:val="0"/>
        <w:bCs/>
        <w:sz w:val="20"/>
      </w:rPr>
      <w:t>RF</w:t>
    </w:r>
    <w:r w:rsidR="003A6721">
      <w:rPr>
        <w:rFonts w:ascii="Segoe UI" w:hAnsi="Segoe UI" w:cs="Segoe UI"/>
        <w:b w:val="0"/>
        <w:bCs/>
        <w:sz w:val="20"/>
      </w:rPr>
      <w:t>Q</w:t>
    </w:r>
    <w:r w:rsidRPr="00E325D0">
      <w:rPr>
        <w:rFonts w:ascii="Segoe UI" w:hAnsi="Segoe UI" w:cs="Segoe UI"/>
        <w:b w:val="0"/>
        <w:bCs/>
        <w:sz w:val="20"/>
      </w:rPr>
      <w:t xml:space="preserve"> No. </w:t>
    </w:r>
    <w:r w:rsidR="003A6721">
      <w:rPr>
        <w:rFonts w:ascii="Segoe UI" w:hAnsi="Segoe UI" w:cs="Segoe UI"/>
        <w:b w:val="0"/>
        <w:bCs/>
        <w:sz w:val="20"/>
      </w:rPr>
      <w:t>2025-26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6B98B658"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 xml:space="preserve">EXHIBIT </w:t>
    </w:r>
    <w:r w:rsidR="00F970F2">
      <w:rPr>
        <w:rFonts w:ascii="Segoe UI" w:hAnsi="Segoe UI" w:cs="Segoe UI"/>
        <w:sz w:val="28"/>
        <w:szCs w:val="24"/>
      </w:rPr>
      <w:t>B</w:t>
    </w:r>
  </w:p>
  <w:p w14:paraId="6FF2D6D1" w14:textId="015A7A8F" w:rsidR="001F5716" w:rsidRPr="001F5716" w:rsidRDefault="00F970F2" w:rsidP="001F5716">
    <w:pPr>
      <w:keepNext/>
      <w:keepLines/>
      <w:tabs>
        <w:tab w:val="left" w:pos="-720"/>
        <w:tab w:val="left" w:pos="0"/>
      </w:tabs>
      <w:jc w:val="center"/>
      <w:rPr>
        <w:rFonts w:ascii="Segoe UI" w:hAnsi="Segoe UI" w:cs="Segoe UI"/>
        <w:b w:val="0"/>
      </w:rPr>
    </w:pPr>
    <w:r>
      <w:rPr>
        <w:rFonts w:ascii="Segoe UI" w:hAnsi="Segoe UI" w:cs="Segoe UI"/>
      </w:rPr>
      <w:t>QUALIFICATION AFFIRMATIONS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E70B59"/>
    <w:multiLevelType w:val="hybridMultilevel"/>
    <w:tmpl w:val="1D025A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3309874">
    <w:abstractNumId w:val="3"/>
  </w:num>
  <w:num w:numId="2" w16cid:durableId="1454787943">
    <w:abstractNumId w:val="0"/>
  </w:num>
  <w:num w:numId="3" w16cid:durableId="1961571731">
    <w:abstractNumId w:val="1"/>
  </w:num>
  <w:num w:numId="4" w16cid:durableId="1440763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YO7/BfFc3tsq0r2xptX5bF7nYkvNXgQ5Va/gCd4eoqlhTxDvvgqndZWKPx4q9LN+8Jklim/x82rHJ4LQiDoYg==" w:salt="HNvFFYf+w85l2SCXhn8p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276E2"/>
    <w:rsid w:val="000A1668"/>
    <w:rsid w:val="001F5716"/>
    <w:rsid w:val="003A6721"/>
    <w:rsid w:val="005253A9"/>
    <w:rsid w:val="006C59E3"/>
    <w:rsid w:val="00940269"/>
    <w:rsid w:val="00D0125F"/>
    <w:rsid w:val="00DF262D"/>
    <w:rsid w:val="00EF3F28"/>
    <w:rsid w:val="00F9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 w:type="paragraph" w:styleId="ListParagraph">
    <w:name w:val="List Paragraph"/>
    <w:basedOn w:val="Normal"/>
    <w:uiPriority w:val="1"/>
    <w:qFormat/>
    <w:rsid w:val="00F970F2"/>
    <w:pPr>
      <w:spacing w:after="160" w:line="259" w:lineRule="auto"/>
      <w:ind w:left="720"/>
      <w:contextualSpacing/>
    </w:pPr>
    <w:rPr>
      <w:rFonts w:ascii="Segoe UI" w:eastAsiaTheme="minorHAnsi" w:hAnsi="Segoe UI" w:cs="Segoe U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DAD0-38DD-4E33-B626-F4D7880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2025-03-07T00:31:00Z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2025-03-07T00:31:02Z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b576249f-1df3-401a-8433-7e6fdfb5fd0f</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