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h"/>
        </w:rPr>
        <w:t>แบบฟอร์มคำร้องขอการพิจารณาคดีตามกระบวนการที่เหมาะสมด้านการศึกษาพิเศษ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rPr>
          <w:lang w:val="th"/>
        </w:rPr>
        <w:t>แบบฟอร์มนี้ใช้ในการขอการพิจารณาคดีตามกระบวนการที่เหมาะสมภายใต้พระราชบัญญัติการศึกษาบุคคลทุพพลภาพ ค.ศ 2004 (Individuals with Disabilities Education Act, IDEA)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rPr>
          <w:lang w:val="th"/>
        </w:rPr>
        <w:t xml:space="preserve">การพิจารณาคดีตามกระบวนการยุติธรรมเป็นกระบวนการทางกฎหมายอย่างเป็นทางการที่ดำเนินการโดยผู้พิพากษาฝ่ายปกครอง (administrative law judge, ALJ) ผู้ปกครอง นักเรียนผู้ใหญ่ และเขตการศึกษาสามารถส่งคำขอเป็นลายลักษณ์อักษรเพื่อขอการพิจารณาคดีที่เกี่ยวข้องกับการระบุตัวตน การประเมิน การจัดการศึกษา หรือการจัดการศึกษาสาธารณะที่เหมาะสมและไม่มีค่าใช้จ่าย (Free Appropriate Public Education, FAPE) ให้กับนักเรียน คุณสามารถค้นหาข้อมูลเพิ่มเติมเกี่ยวกับการพิจารณาคดีตามกระบวนการยุติธรรมได้จาก </w:t>
      </w:r>
      <w:hyperlink r:id="rId15" w:history="1">
        <w:r>
          <w:rPr>
            <w:rStyle w:val="Hyperlink"/>
            <w:u w:val="none"/>
            <w:lang w:val="th"/>
          </w:rPr>
          <w:t>เว็บไซต์ของ OSPI</w:t>
        </w:r>
      </w:hyperlink>
      <w:r>
        <w:rPr>
          <w:lang w:val="th"/>
        </w:rPr>
        <w:t xml:space="preserve"> การ </w:t>
      </w:r>
      <w:hyperlink r:id="rId16" w:history="1">
        <w:r>
          <w:rPr>
            <w:rStyle w:val="Hyperlink"/>
            <w:u w:val="none"/>
            <w:lang w:val="th"/>
          </w:rPr>
          <w:t>คุ้มครองตามขั้นตอน</w:t>
        </w:r>
      </w:hyperlink>
      <w:r>
        <w:rPr>
          <w:lang w:val="th"/>
        </w:rPr>
        <w:t xml:space="preserve"> และ </w:t>
      </w:r>
      <w:hyperlink r:id="rId17" w:history="1">
        <w:r>
          <w:rPr>
            <w:rStyle w:val="Hyperlink"/>
            <w:lang w:val="th"/>
          </w:rPr>
          <w:t>WAC 392-172A-05080 ถึง 392-172A-05125</w:t>
        </w:r>
      </w:hyperlink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rPr>
          <w:lang w:val="th"/>
        </w:rPr>
        <w:t xml:space="preserve">แบบฟอร์มนี้จัดทำขึ้นเพื่อใช้เป็นแบบอย่างในการช่วยเหลือคุณ คุณไม่จำเป็นต้องใช้แบบฟอร์มนี้โดยเฉพาะ อย่างไรก็ตาม หากคำขอของคุณไม่มีองค์ประกอบที่ IDEA กำหนด หรือหากคุณไม่ได้ส่งคำขอดำเนินการไต่สวนตามกระบวนการยุติธรรมให้กับอีกฝ่ายหนึ่งหรือตัวแทนของอีกฝ่าย อาจทำให้กระบวนการดังกล่าวไต่สวนล่าช้าได้ </w:t>
      </w:r>
      <w:r>
        <w:rPr>
          <w:color w:val="000000"/>
          <w:lang w:val="th"/>
        </w:rPr>
        <w:t xml:space="preserve">หากต้องการความช่วยเหลือในการกรอกแบบฟอร์มนี้ หรือขอรูปแบบการใช้งานที่สะดวกสำหรับคุณ กรุณาติดต่อที่สำนักงานกำกับดูแลการเรียนการสอนภาครัฐ Office of Superintendent of Public Instruction, OSPI) กองการศึกษาพิเศษ โทร. 360-725-6075 หรือ </w:t>
      </w:r>
      <w:hyperlink r:id="rId18" w:history="1">
        <w:r>
          <w:rPr>
            <w:rStyle w:val="Hyperlink"/>
            <w:lang w:val="th"/>
          </w:rPr>
          <w:t>speced@k12.wa.us</w:t>
        </w:r>
      </w:hyperlink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rPr>
          <w:lang w:val="th"/>
        </w:rPr>
        <w:t>คุณต้องส่งคำร้องขอการพิจารณาคดีตามกระบวนการยุติธรรมโดยตรงไปยังอีกฝ่ายหนึ่ง และต้องส่งสำเนาคำร้องขอไปยังสำนักงานการพิจารณาคดีทางปกครอง (Office of Administrative Hearings, OAH) ตามที่อยู่ทางไปรษณีย์</w:t>
      </w:r>
      <w:r>
        <w:rPr>
          <w:b/>
          <w:bCs/>
          <w:lang w:val="th"/>
        </w:rPr>
        <w:t>หรือ</w:t>
      </w:r>
      <w:r>
        <w:rPr>
          <w:lang w:val="th"/>
        </w:rPr>
        <w:t xml:space="preserve">หมายเลขแฟกซ์ที่ระบุไว้ด้านล่าง เก็บสำเนาคำร้องขอและหลักฐานการจัดส่งไปยังอีกฝ่ายหนึ่งไว้ </w:t>
      </w:r>
      <w:r>
        <w:rPr>
          <w:b/>
          <w:bCs/>
          <w:lang w:val="th"/>
        </w:rPr>
        <w:t>อย่าส่งเอกสารประกอบเมื่อยื่นขอการพิจารณาคดีที่เหมาะสม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594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b/>
                <w:bCs/>
                <w:lang w:val="th"/>
              </w:rPr>
              <w:t>ส่ง: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th"/>
              </w:rPr>
              <w:t>วันที่ส่ง: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4F7C63">
      <w:pPr>
        <w:spacing w:after="360" w:line="240" w:lineRule="auto"/>
        <w:ind w:left="360" w:right="360"/>
        <w:jc w:val="both"/>
        <w:rPr>
          <w:sz w:val="18"/>
        </w:rPr>
      </w:pPr>
      <w:r>
        <w:rPr>
          <w:sz w:val="18"/>
          <w:lang w:val="th"/>
        </w:rPr>
        <w:t>(ระบุชื่อและที่อยู่ของฝ่าย (ผู้ปกครองหรือเขต) ที่คุณจะส่งประกาศนี้ให้ หากจะแจ้งไปยังเขตการศึกษา ให้ใช้ชื่อผู้อำนวยการเขตการศึกษาและที่อยู่ฝ่ายบริหารของผู้อำนวยการเขตการศึกษาเพื่อวัตถุประสงค์ในการแจ้งเตือน หากเป็นการแจ้งให้เขตการศึกษาทราบ ให้ใช้ชื่อผู้อำนวยการเขตการศึกษาและที่อยู่การบริหารของผู้อำนวยการเขตการศึกษาเพื่อวัตถุประสงค์ในการแจ้งเตือน)</w:t>
      </w:r>
    </w:p>
    <w:p w14:paraId="31CF7CA8" w14:textId="4B04BCC8" w:rsidR="00195F75" w:rsidRPr="00B17CAD" w:rsidRDefault="00195F75" w:rsidP="004F7C63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b/>
          <w:bCs/>
          <w:szCs w:val="28"/>
          <w:lang w:val="th"/>
        </w:rPr>
        <w:lastRenderedPageBreak/>
        <w:t>และสำเนาถึง: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rPr>
          <w:lang w:val="th"/>
        </w:rPr>
        <w:t>Office of Administrative Hearings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rPr>
          <w:lang w:val="th"/>
        </w:rPr>
        <w:t>PO Box 42489</w:t>
      </w:r>
      <w:r>
        <w:rPr>
          <w:lang w:val="th"/>
        </w:rP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rPr>
          <w:lang w:val="th"/>
        </w:rPr>
        <w:t>โทรสาร 206-587-5135</w:t>
      </w:r>
    </w:p>
    <w:p w14:paraId="6C6A1E64" w14:textId="3F23126A" w:rsidR="001657CF" w:rsidRPr="004D44A2" w:rsidRDefault="00195F75" w:rsidP="002F0DB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1657CF" w:rsidRPr="004D44A2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th"/>
        </w:rPr>
        <w:t xml:space="preserve">ปัจจุบันไม่มีตัวเลือกการยื่นอิเล็กทรอนิกส์ตามที่ระบุไว้ใน WAC 392-172A-05085 อย่างไรก็ตาม OAH รับการยื่นคำร้องขอการพิจารณาคดีชั่วคราวได้ที่ </w:t>
      </w:r>
      <w:hyperlink r:id="rId21" w:history="1">
        <w:r>
          <w:rPr>
            <w:rStyle w:val="Hyperlink"/>
            <w:lang w:val="th"/>
          </w:rPr>
          <w:t>oah.ospi@oah.wa.gov</w:t>
        </w:r>
      </w:hyperlink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b/>
          <w:bCs/>
          <w:lang w:val="th"/>
        </w:rPr>
        <w:lastRenderedPageBreak/>
        <w:t>ข้อมูลนักเรียน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th"/>
        </w:rPr>
        <w:t xml:space="preserve">OSPI มุ่งมั่นปฏิบัติเพื่อการมีส่วนร่วมและดำเนินการเพื่อลดช่องโหว่ของโอกาส หากคุณสมัครใจให้ข้อมูลเกี่ยวกับสภาพความพิการ เชื้อชาติ และเพศของบุตรหลานของคุณ ข้อมูลที่เป็นความลับของคุณจะถูกนำมาใช้เพื่อระบุแนวโน้มโดยรวมในรัฐของเราเท่านั้น และเพื่อปรับปรุงแนวทางและกระบวนการระงับข้อพิพาทของ OSPI </w:t>
      </w:r>
      <w:r>
        <w:rPr>
          <w:i/>
          <w:iCs/>
          <w:sz w:val="20"/>
          <w:szCs w:val="20"/>
          <w:lang w:val="th"/>
        </w:rPr>
        <w:t>หากเป็นการร้องเรียนเกี่ยวกับนักเรียนมากกว่าหนึ่งคน โปรดใช้หน้าเพิ่มเติม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th"/>
        </w:rPr>
        <w:t>หมายเหตุ ตาม WAC 392-172A-05085 จำเป็นต้องมีข้อมูลต่อไปนี้: ชื่อและที่อยู่ของนักเรียน ชื่อโรงเรียนของนักเรียนและเขตหรือหน่วยงานสาธารณะ และข้อมูลติดต่อของนักเรียนในกรณีที่เด็กหรือเยาวชนไร้บ้าน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347"/>
        <w:gridCol w:w="4212"/>
        <w:gridCol w:w="1347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ชื่อนักเรียน: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ชื่อผู้ปกครอง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วันเกิด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ที่อยู่พ่อแม่ ถ้าไม่ตรงกับที่อยู่ของนักเรียน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สภาพความทุพพลภาพของนักเรียน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เมือง/รัฐ/รหัสไปรษณีย์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เกรด, เชื้อชาติ/ชาติพันธุ์, เพศ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เบอร์โทรศัพท์บิดามารดา/ผู้ดูแล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ที่อยู่ของนักเรียน: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อีเมล์ของบิดามารดา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เมือง/รัฐ/รหัสไปรษณีย์: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ภาษาหลัก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เขตการศึกษา: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เชื้อชาติ/ชาติพันธุ์ เพศ (ไม่จำเป็นต้องระบุ)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โรงเรียนของนักเรียน: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ชื่อผู้ขอรับฟังความคิดเห็นและความสัมพันธ์กับนักเรียน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ที่อยู่โรงเรียน (ไม่จำเป็นต้องระบุ):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h"/>
              </w:rPr>
              <w:t>สำหรับเด็กที่ไม่มีที่อยู่อาศัย โปรดระบุชื่อและที่อยู่ที่สามารถติดต่อได้ หากแตกต่างจากข้างต้น: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  <w:gridCol w:w="607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rPr>
                <w:lang w:val="th"/>
              </w:rPr>
              <w:lastRenderedPageBreak/>
              <w:br w:type="page"/>
            </w:r>
            <w:r>
              <w:rPr>
                <w:b/>
                <w:bCs/>
                <w:lang w:val="th"/>
              </w:rPr>
              <w:t>ระเบียบวินัย (ไม่จำเป็นต้องระบุ):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4F7C63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th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th"/>
              </w:rPr>
              <w:t xml:space="preserve"> ใช่</w:t>
            </w:r>
          </w:p>
          <w:p w14:paraId="07A1F0CA" w14:textId="77777777" w:rsidR="00272215" w:rsidRPr="00B17CAD" w:rsidRDefault="004F7C63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th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th"/>
              </w:rPr>
              <w:t xml:space="preserve"> ไม่ใช่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rPr>
                <w:lang w:val="th"/>
              </w:rPr>
              <w:t xml:space="preserve">คำร้องขอการพิจารณากระบวนการยุติธรรมนี้เกี่ยวข้องกับประเด็นทางวินัยทางการศึกษาพิเศษหรือไม่?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lang w:val="th"/>
              </w:rPr>
              <w:t>(การพิจารณาคดีเกี่ยวกับการละเมิดวินัยการศึกษาพิเศษนั้นเกี่ยวข้องกับการย้ายนักเรียนออกไปเกินกว่าสิบวันเรียนในหนึ่งปีการศึกษา ขั้นตอนการพิจารณาการแสดงออก หรือการตัดสินใจเกี่ยวกับการจัดวางอื่นๆ ที่เป็นผลมาจากการย้ายออกเนื่องจากวินัย)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b/>
                <w:bCs/>
                <w:lang w:val="th"/>
              </w:rPr>
              <w:t>ปัญหาและข้อเท็จจริง</w:t>
            </w:r>
            <w:r>
              <w:rPr>
                <w:b/>
                <w:bCs/>
                <w:szCs w:val="24"/>
                <w:lang w:val="th"/>
              </w:rPr>
              <w:t xml:space="preserve"> (ข้อมูลที่ต้องการ)</w:t>
            </w:r>
            <w:r>
              <w:rPr>
                <w:b/>
                <w:bCs/>
                <w:sz w:val="20"/>
                <w:lang w:val="th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val="th"/>
              </w:rPr>
              <w:t>(ลักษณะของปัญหาที่เกี่ยวข้องกับโปรแกรมการศึกษาพิเศษของบุตรหลานของคุณคืออะไร? ข้อเท็จจริงที่เกี่ยวข้องใดบ้างที่ช่วยอธิบายปัญหานี้?)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b/>
                <w:bCs/>
                <w:lang w:val="th"/>
              </w:rPr>
              <w:t xml:space="preserve">แนวทางแก้ไขที่เสนอ (ข้อมูลที่จำเป็น) </w:t>
            </w:r>
            <w:r>
              <w:rPr>
                <w:i/>
                <w:iCs/>
                <w:sz w:val="20"/>
                <w:szCs w:val="18"/>
                <w:lang w:val="th"/>
              </w:rPr>
              <w:t>(โปรดอธิบายการดำเนินการหรือการเปลี่ยนแปลงที่คุณคิดว่าจำเป็นเพื่อแก้ไขปัญหา แก้ไขข้อกังวลของคุณ และปรับปรุงประสบการณ์การศึกษาพิเศษของบุตรหลานของคุณ)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  <w:lang w:val="th"/>
        </w:rPr>
        <w:t>(กล่อง III และ IV สามารถขยายได้อีก ใช้หน้าเพิ่มเติมหากจำเป็น)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rPr>
          <w:lang w:val="th"/>
        </w:rPr>
        <w:br w:type="page"/>
      </w:r>
      <w:r>
        <w:rPr>
          <w:color w:val="auto"/>
          <w:lang w:val="th"/>
        </w:rPr>
        <w:lastRenderedPageBreak/>
        <w:t>แบบฟอร์มคำร้องขอการพิจารณาคดีตามกระบวนการที่เหมาะสมด้านการศึกษาพิเศษ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b/>
          <w:bCs/>
          <w:lang w:val="th"/>
        </w:rPr>
        <w:t>บริการทางกฎหมายฟรีและต้นทุนต่ำ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rPr>
          <w:lang w:val="th"/>
        </w:rPr>
        <w:t xml:space="preserve">สำนักงานพิจารณาคดีทางปกครอง (OAH) จัดทำรายชื่อความช่วยเหลือทางกฎหมาย ซึ่งให้ข้อมูลเกี่ยวกับผู้ให้บริการทางกฎหมายฟรีหรือค่าใช้จ่ายต่ำ องค์กรสาธารณะ (ไม่แสวงหากำไร) ที่ช่วยเหลือผู้ปกครอง และทนายความที่มีประสบการณ์และ/หรือสนใจด้านการศึกษาพิเศษ คุณสามารถดูลิสต์รายการบนหน้าเว็บของ OSPI ได้ที่นี่: </w:t>
      </w:r>
      <w:hyperlink r:id="rId22" w:history="1">
        <w:r>
          <w:rPr>
            <w:rStyle w:val="Hyperlink"/>
            <w:lang w:val="th"/>
          </w:rPr>
          <w:t>รายการความช่วยเหลือทางกฎหมาย</w:t>
        </w:r>
      </w:hyperlink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b/>
          <w:bCs/>
          <w:lang w:val="th"/>
        </w:rPr>
        <w:t>ข้อมูลประชากร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rPr>
          <w:lang w:val="th"/>
        </w:rPr>
        <w:t>OSPI มุ่งมั่นปฏิบัติเพื่อการมีส่วนร่วมและดำเนินการเพื่อลดช่องโหว่ของโอกาส หากคุณสมัครใจให้ข้อมูลเกี่ยวกับสภาพความพิการของบุตรหลาน เชื้อชาติและชาติพันธุ์ของสมาชิกในครอบครัว และอัตลักษณ์ทางเพศของนักเรียน เราจะเก็บข้อมูลที่เป็นความลับของคุณไว้เป็นส่วนตัว และใช้ข้อมูลดังกล่าวเพื่อระบุแนวโน้มในรัฐของเราเท่านั้น เราใช้ข้อมูลนี้โดยรวม โดยไม่เชื่อมโยงกับนักเรียนหรือครอบครัวใดๆ เพื่อปรับปรุงแนวทางอย่างต่อเนื่องสำหรับโรงเรียนในรัฐ Washington และเพื่อปรับปรุงกระบวนการของเราในการสนับสนุนสิทธิของนักเรียนและครอบครัว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rPr>
          <w:lang w:val="th"/>
        </w:rPr>
        <w:t>แน่นอนว่า OSPI จะไม่แบ่งปันข้อมูล (เช่น อีเมล และเอกสารการศึกษาพิเศษ) ที่ OSPI ได้รับระหว่างกระบวนการที่ถูกต้องตามกฎหมายกับบุคคลอื่น หน่วยงาน หรือหน่วยงานของรัฐบาลกลางหรือของรัฐ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th"/>
        </w:rPr>
        <w:t>ประชาชนสามารถขอเข้าถึงข้อมูลดังกล่าวได้ภายใต้พระราชบัญญัติทะเบียนราษฎร์ของรัฐ Washington แต่ในกรณีที่มีการร้องขอดังกล่าว จะมี "ข้อยกเว้น" หลายประการ กล่าวอีกนัยหนึ่งคือ มีข้อมูลหลายประเภทที่สาธารณชนจะ</w:t>
      </w:r>
      <w:r>
        <w:rPr>
          <w:b/>
          <w:bCs/>
          <w:u w:val="single"/>
          <w:lang w:val="th"/>
        </w:rPr>
        <w:t>ไม่</w:t>
      </w:r>
      <w:r>
        <w:rPr>
          <w:lang w:val="th"/>
        </w:rPr>
        <w:t xml:space="preserve">สามารถเข้าถึงได้ ที่สำคัญ OSPI จะ </w:t>
      </w:r>
      <w:r>
        <w:rPr>
          <w:b/>
          <w:bCs/>
          <w:u w:val="single"/>
          <w:lang w:val="th"/>
        </w:rPr>
        <w:t>ไม่</w:t>
      </w:r>
      <w:r>
        <w:rPr>
          <w:lang w:val="th"/>
        </w:rPr>
        <w:t xml:space="preserve"> ให้ข้อมูลต่อไปนี้เพื่อตอบสนองต่อคำขอทะเบียนราษฎร์: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th"/>
        </w:rPr>
        <w:t>ข้อมูลที่มีการเชื่อมโยงหรือเชื่อมโยงได้ถึงนักเรียนคนใดโดยเฉพาะเจาะจง เพียงอย่างเดียวหรือหลายข้อมูลรวมกัน ที่จะทำให้บุคคลทั่วไปในชุมชนโรงเรียนที่ไม่มีความรู้ส่วนบุคคลเกี่ยวกับสถานการณ์ที่เกี่ยวข้อง สามารถระบุนักเรียนอย่างแน่ใจได้ในระดับที่เหมาะสม ตัวอย่างเช่น ข้อมูลเกี่ยวกับความพิการหรือเชื้อชาติและชาติพันธุ์ของบุตรหลานของคุณ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th"/>
        </w:rPr>
        <w:t>ข้อมูลส่วนบุคคลสำหรับสมาชิกในครอบครัวหรือผู้ปกครองของนักเรียน หากข้อมูลดังกล่าวจะส่งผลให้มีการเปิดเผยข้อมูลส่วนบุคคลของนักเรียน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rPr>
          <w:lang w:val="th"/>
        </w:rPr>
        <w:t>ข้อมูลการติดต่อในกรณีฉุกเฉินของสมาชิกในครอบครัวหรือผู้ปกครอง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th"/>
        </w:rPr>
        <w:t>สำหรับข้อมูลเพิ่มเติมเกี่ยวกับการร้องขอทะเบียนราษฎร์ โปรดดูที่แหล่งข้อมูลเหล่านี้: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th"/>
        </w:rPr>
        <w:fldChar w:fldCharType="begin"/>
      </w:r>
      <w:r>
        <w:rPr>
          <w:lang w:val="th"/>
        </w:rPr>
        <w:instrText>HYPERLINK "https://ospi.k12.wa.us/about-ospi/contact-us/ospi-public-records-request"</w:instrText>
      </w:r>
      <w:r>
        <w:rPr>
          <w:lang w:val="th"/>
        </w:rPr>
      </w:r>
      <w:r>
        <w:rPr>
          <w:lang w:val="th"/>
        </w:rPr>
        <w:fldChar w:fldCharType="separate"/>
      </w:r>
      <w:r>
        <w:rPr>
          <w:rStyle w:val="Hyperlink"/>
          <w:lang w:val="th"/>
        </w:rPr>
        <w:t>คำขอทะเบียนราษฎร์จาก OSPI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th"/>
        </w:rPr>
        <w:fldChar w:fldCharType="end"/>
      </w:r>
      <w:r>
        <w:rPr>
          <w:lang w:val="th"/>
        </w:rPr>
        <w:fldChar w:fldCharType="begin"/>
      </w:r>
      <w:r>
        <w:rPr>
          <w:lang w:val="th"/>
        </w:rPr>
        <w:instrText>HYPERLINK "https://ospi.k12.wa.us/sites/default/files/2024-03/ospi-common-exemption-log.pdf"</w:instrText>
      </w:r>
      <w:r>
        <w:rPr>
          <w:lang w:val="th"/>
        </w:rPr>
      </w:r>
      <w:r>
        <w:rPr>
          <w:lang w:val="th"/>
        </w:rPr>
        <w:fldChar w:fldCharType="separate"/>
      </w:r>
      <w:r>
        <w:rPr>
          <w:rStyle w:val="Hyperlink"/>
          <w:lang w:val="th"/>
        </w:rPr>
        <w:t>คำขอทะเบียนราษฎร์จาก OSPI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rPr>
          <w:lang w:val="th"/>
        </w:rPr>
        <w:fldChar w:fldCharType="end"/>
      </w:r>
      <w:hyperlink r:id="rId23" w:history="1">
        <w:r>
          <w:rPr>
            <w:rStyle w:val="Hyperlink"/>
            <w:lang w:val="th"/>
          </w:rPr>
          <w:t>สำนักงานอัยการสูงสุดรัฐ Washington: การรับข้อมูล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  <w:lang w:val="th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โลโก้ลิขสิทธิ์" title="โลโก้ลิขสิทธิ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th"/>
      </w:rPr>
      <w:t xml:space="preserve"> คำขอการพิจารณาคดีตามกระบวนการยุติธรรมทางการศึกษาพิเศษโดย </w:t>
    </w:r>
    <w:hyperlink r:id="rId2" w:history="1">
      <w:r>
        <w:rPr>
          <w:rStyle w:val="Hyperlink"/>
          <w:sz w:val="20"/>
          <w:szCs w:val="20"/>
          <w:lang w:val="th"/>
        </w:rPr>
        <w:t>สำนักงานผู้บริหารการศึกษาของรัฐ</w:t>
      </w:r>
    </w:hyperlink>
    <w:r>
      <w:rPr>
        <w:sz w:val="18"/>
        <w:szCs w:val="18"/>
        <w:lang w:val="th"/>
      </w:rPr>
      <w:t xml:space="preserve"> ภายใต้ลิขสิทธิ์ </w:t>
    </w:r>
    <w:hyperlink r:id="rId3" w:history="1">
      <w:r>
        <w:rPr>
          <w:rStyle w:val="Hyperlink"/>
          <w:sz w:val="18"/>
          <w:szCs w:val="18"/>
          <w:u w:val="none"/>
          <w:lang w:val="th"/>
        </w:rPr>
        <w:t>ข้อตกลงใบอนุญาต Creative Commons Attribution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3EF3B69F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rPr>
            <w:lang w:val="th"/>
          </w:rPr>
          <w:t>คำขอการพิจารณาคดีตามกระบวนการยุติธรรมทางการศึกษาพิเศษ</w:t>
        </w:r>
        <w:r>
          <w:rPr>
            <w:lang w:val="th"/>
          </w:rPr>
          <w:tab/>
        </w:r>
        <w:r>
          <w:rPr>
            <w:lang w:val="th"/>
          </w:rPr>
          <w:fldChar w:fldCharType="begin"/>
        </w:r>
        <w:r>
          <w:rPr>
            <w:lang w:val="th"/>
          </w:rPr>
          <w:instrText xml:space="preserve"> PAGE   \* MERGEFORMAT </w:instrText>
        </w:r>
        <w:r>
          <w:rPr>
            <w:lang w:val="th"/>
          </w:rPr>
          <w:fldChar w:fldCharType="separate"/>
        </w:r>
        <w:r>
          <w:rPr>
            <w:noProof/>
            <w:lang w:val="th"/>
          </w:rPr>
          <w:t>2</w:t>
        </w:r>
        <w:r>
          <w:rPr>
            <w:noProof/>
            <w:lang w:val="th"/>
          </w:rPr>
          <w:fldChar w:fldCharType="end"/>
        </w:r>
        <w:r>
          <w:rPr>
            <w:lang w:val="th"/>
          </w:rPr>
          <w:t xml:space="preserve"> | หน้า</w:t>
        </w:r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rPr>
            <w:lang w:val="th"/>
          </w:rPr>
          <w:t>แก้ไขปี ค.ศ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4F7C63">
    <w:pPr>
      <w:pStyle w:val="Header"/>
    </w:pPr>
    <w:r>
      <w:rPr>
        <w:noProof/>
        <w:lang w:val="th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rPr>
        <w:lang w:val="th"/>
      </w:rPr>
      <w:t>ผู้รับ</w:t>
    </w:r>
  </w:p>
  <w:p w14:paraId="44F5C3E4" w14:textId="77777777" w:rsidR="00664E40" w:rsidRDefault="00664E40">
    <w:pPr>
      <w:pStyle w:val="Header"/>
    </w:pPr>
    <w:r>
      <w:rPr>
        <w:lang w:val="th"/>
      </w:rPr>
      <w:t>วันที่</w:t>
    </w:r>
  </w:p>
  <w:p w14:paraId="2368CE55" w14:textId="77777777" w:rsidR="009D3D83" w:rsidRDefault="00664E40">
    <w:pPr>
      <w:pStyle w:val="Header"/>
    </w:pPr>
    <w:r>
      <w:rPr>
        <w:lang w:val="th"/>
      </w:rPr>
      <w:t>หน้า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  <w:lang w:val="t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เส้นตกแต่ง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  <w:lang w:val="th"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หัวจดหมาย OSPI: ด้านซ้าย: Old Capitol Building, PO Box 47200, Olympia, WA 98504-7200, k12.wa.us. ด้านขวา โลโก้ OSPI สำนักงานกำกับดูแลการเรียนการสอนภาครัฐ Washington ผู้กำกับ Chris Reyk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F0789"/>
    <w:rsid w:val="002F0DBD"/>
    <w:rsid w:val="00320F2A"/>
    <w:rsid w:val="003C27AD"/>
    <w:rsid w:val="003C629B"/>
    <w:rsid w:val="00414132"/>
    <w:rsid w:val="004257BE"/>
    <w:rsid w:val="0042580A"/>
    <w:rsid w:val="00491D0E"/>
    <w:rsid w:val="004B7584"/>
    <w:rsid w:val="004C26FC"/>
    <w:rsid w:val="004C5638"/>
    <w:rsid w:val="004D44A2"/>
    <w:rsid w:val="004E353A"/>
    <w:rsid w:val="004F7C63"/>
    <w:rsid w:val="00525FB7"/>
    <w:rsid w:val="00532598"/>
    <w:rsid w:val="0053735F"/>
    <w:rsid w:val="00557B9E"/>
    <w:rsid w:val="0056450F"/>
    <w:rsid w:val="00591936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F3DF2"/>
    <w:rsid w:val="00A1236D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60646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mailto: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12</cp:revision>
  <dcterms:created xsi:type="dcterms:W3CDTF">2024-10-24T22:11:00Z</dcterms:created>
  <dcterms:modified xsi:type="dcterms:W3CDTF">2025-03-12T19:41:00Z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