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57349A90" w:rsidR="007F5EBE" w:rsidRPr="000973F3" w:rsidRDefault="00617270" w:rsidP="009E4518">
      <w:pPr>
        <w:spacing w:after="0"/>
        <w:jc w:val="right"/>
        <w:rPr>
          <w:rFonts w:ascii="Segoe UI" w:hAnsi="Segoe UI" w:cs="Segoe UI"/>
          <w:b/>
          <w:bCs/>
          <w:sz w:val="17"/>
          <w:szCs w:val="17"/>
        </w:rPr>
      </w:pPr>
      <w:r w:rsidRPr="000973F3">
        <w:rPr>
          <w:rFonts w:ascii="Segoe UI" w:hAnsi="Segoe UI" w:cs="Segoe UI"/>
          <w:b/>
          <w:bCs/>
          <w:sz w:val="17"/>
          <w:szCs w:val="17"/>
          <w:highlight w:val="yellow"/>
        </w:rPr>
        <w:t>[Date]</w:t>
      </w:r>
    </w:p>
    <w:p w14:paraId="317D3A6C" w14:textId="77777777" w:rsidR="00191044" w:rsidRPr="000973F3" w:rsidRDefault="001055E7" w:rsidP="00D5254B">
      <w:pPr>
        <w:spacing w:before="220" w:after="220"/>
        <w:rPr>
          <w:rFonts w:ascii="Segoe UI" w:hAnsi="Segoe UI" w:cs="Segoe UI"/>
          <w:b/>
          <w:bCs/>
          <w:sz w:val="17"/>
          <w:szCs w:val="17"/>
        </w:rPr>
      </w:pPr>
      <w:r w:rsidRPr="000973F3">
        <w:rPr>
          <w:rFonts w:ascii="Segoe UI" w:hAnsi="Segoe UI" w:cs="Segoe UI"/>
          <w:b/>
          <w:bCs/>
          <w:sz w:val="17"/>
          <w:szCs w:val="17"/>
          <w:highlight w:val="yellow"/>
        </w:rPr>
        <w:t>[School Branding]</w:t>
      </w:r>
    </w:p>
    <w:p w14:paraId="56DA734F" w14:textId="77777777" w:rsidR="00191044" w:rsidRPr="000973F3" w:rsidRDefault="00617270" w:rsidP="00D5254B">
      <w:pPr>
        <w:spacing w:before="220" w:after="220"/>
        <w:rPr>
          <w:rFonts w:ascii="Segoe UI" w:hAnsi="Segoe UI" w:cs="Segoe UI"/>
          <w:sz w:val="17"/>
          <w:szCs w:val="17"/>
        </w:rPr>
      </w:pPr>
      <w:r w:rsidRPr="000973F3">
        <w:rPr>
          <w:rFonts w:ascii="Segoe UI" w:hAnsi="Segoe UI" w:cs="Segoe UI"/>
          <w:sz w:val="17"/>
          <w:szCs w:val="17"/>
        </w:rPr>
        <w:t xml:space="preserve">Estudiantes y familias de </w:t>
      </w:r>
      <w:r w:rsidRPr="000973F3">
        <w:rPr>
          <w:rFonts w:ascii="Segoe UI" w:hAnsi="Segoe UI" w:cs="Segoe UI"/>
          <w:b/>
          <w:bCs/>
          <w:sz w:val="17"/>
          <w:szCs w:val="17"/>
          <w:highlight w:val="yellow"/>
        </w:rPr>
        <w:t>[High School]</w:t>
      </w:r>
      <w:r w:rsidRPr="000973F3">
        <w:rPr>
          <w:rFonts w:ascii="Segoe UI" w:hAnsi="Segoe UI" w:cs="Segoe UI"/>
          <w:b/>
          <w:bCs/>
          <w:sz w:val="17"/>
          <w:szCs w:val="17"/>
        </w:rPr>
        <w:t>:</w:t>
      </w:r>
    </w:p>
    <w:p w14:paraId="64BE429E" w14:textId="77777777" w:rsidR="00191044" w:rsidRPr="000973F3" w:rsidRDefault="00732F70" w:rsidP="00D5254B">
      <w:pPr>
        <w:pStyle w:val="NoSpacing"/>
        <w:spacing w:before="220" w:after="220"/>
        <w:rPr>
          <w:rFonts w:ascii="Segoe UI" w:hAnsi="Segoe UI" w:cs="Segoe UI"/>
          <w:sz w:val="17"/>
          <w:szCs w:val="17"/>
          <w:lang w:val="es-AR"/>
        </w:rPr>
      </w:pPr>
      <w:r w:rsidRPr="000973F3">
        <w:rPr>
          <w:rFonts w:ascii="Segoe UI" w:hAnsi="Segoe UI" w:cs="Segoe UI"/>
          <w:sz w:val="17"/>
          <w:szCs w:val="17"/>
          <w:lang w:val="es-AR"/>
        </w:rPr>
        <w:t>Las clases de doble crédito permiten a los estudiantes de secundaria obtener créditos de escuela secundaria y universitarios al mismo tiempo. Esto se puede hacer tomando una clase de nivel universitario u obteniendo una calificación en un examen que califique. Los estudios demuestran que los estudiantes que toman clases de doble crédito tienen más probabilidades de graduarse a tiempo, ir a la universidad, permanecer en la universidad o comenzar una carrera inmediatamente después de la escuela secundaria. Estas clases también cuentan para los requisitos de crédito de Washington para graduarse y les dan a los estudiantes una idea del trabajo de nivel universitario. Incluso si los estudiantes no obtienen créditos universitarios, tomar estas clases puede aumentar su confianza, introducirlos en carreras nuevas y ofrecer más opciones de clases.</w:t>
      </w:r>
    </w:p>
    <w:p w14:paraId="271AC5CF" w14:textId="128BDBF9" w:rsidR="00191044" w:rsidRPr="000973F3" w:rsidRDefault="00732F70" w:rsidP="00D5254B">
      <w:pPr>
        <w:pStyle w:val="NoSpacing"/>
        <w:spacing w:before="220" w:after="220"/>
        <w:rPr>
          <w:rFonts w:ascii="Segoe UI" w:hAnsi="Segoe UI" w:cs="Segoe UI"/>
          <w:sz w:val="17"/>
          <w:szCs w:val="17"/>
          <w:lang w:val="es-AR"/>
        </w:rPr>
      </w:pPr>
      <w:r w:rsidRPr="000973F3">
        <w:rPr>
          <w:rFonts w:ascii="Segoe UI" w:hAnsi="Segoe UI" w:cs="Segoe UI"/>
          <w:sz w:val="17"/>
          <w:szCs w:val="17"/>
          <w:lang w:val="es-AR"/>
        </w:rPr>
        <w:t xml:space="preserve">El Estado de Washington exige que las escuelas tengan una política de aceleración académica para garantizar que los estudiantes capaces sean desafiados y alentados a tomar clases más difíciles, como de doble crédito. La </w:t>
      </w:r>
      <w:r w:rsidRPr="000973F3">
        <w:rPr>
          <w:rFonts w:ascii="Segoe UI" w:hAnsi="Segoe UI" w:cs="Segoe UI"/>
          <w:b/>
          <w:bCs/>
          <w:sz w:val="17"/>
          <w:szCs w:val="17"/>
          <w:highlight w:val="yellow"/>
          <w:lang w:val="es-AR"/>
        </w:rPr>
        <w:t>[School District]</w:t>
      </w:r>
      <w:r w:rsidR="005C04AE" w:rsidRPr="000973F3">
        <w:rPr>
          <w:rFonts w:ascii="Segoe UI" w:hAnsi="Segoe UI" w:cs="Segoe UI"/>
          <w:b/>
          <w:bCs/>
          <w:sz w:val="17"/>
          <w:szCs w:val="17"/>
          <w:lang w:val="es-AR"/>
        </w:rPr>
        <w:t xml:space="preserve"> </w:t>
      </w:r>
      <w:r w:rsidRPr="000973F3">
        <w:rPr>
          <w:rFonts w:ascii="Segoe UI" w:hAnsi="Segoe UI" w:cs="Segoe UI"/>
          <w:sz w:val="17"/>
          <w:szCs w:val="17"/>
          <w:lang w:val="es-AR"/>
        </w:rPr>
        <w:t xml:space="preserve">política se puede encontrar en </w:t>
      </w:r>
      <w:r w:rsidRPr="000973F3">
        <w:rPr>
          <w:rFonts w:ascii="Segoe UI" w:hAnsi="Segoe UI" w:cs="Segoe UI"/>
          <w:b/>
          <w:bCs/>
          <w:sz w:val="17"/>
          <w:szCs w:val="17"/>
          <w:highlight w:val="yellow"/>
          <w:lang w:val="es-AR"/>
        </w:rPr>
        <w:t>[enter website]</w:t>
      </w:r>
      <w:r w:rsidRPr="000973F3">
        <w:rPr>
          <w:rFonts w:ascii="Segoe UI" w:hAnsi="Segoe UI" w:cs="Segoe UI"/>
          <w:b/>
          <w:bCs/>
          <w:sz w:val="17"/>
          <w:szCs w:val="17"/>
          <w:lang w:val="es-AR"/>
        </w:rPr>
        <w:t>.</w:t>
      </w:r>
      <w:r w:rsidRPr="000973F3">
        <w:rPr>
          <w:rFonts w:ascii="Segoe UI" w:hAnsi="Segoe UI" w:cs="Segoe UI"/>
          <w:sz w:val="17"/>
          <w:szCs w:val="17"/>
          <w:lang w:val="es-AR"/>
        </w:rPr>
        <w:t xml:space="preserve"> Los estudiantes pueden optar por no seguir esta política si no se ajusta a su plan </w:t>
      </w:r>
      <w:r w:rsidRPr="000973F3">
        <w:rPr>
          <w:rFonts w:ascii="Segoe UI" w:hAnsi="Segoe UI" w:cs="Segoe UI"/>
          <w:i/>
          <w:iCs/>
          <w:sz w:val="17"/>
          <w:szCs w:val="17"/>
          <w:lang w:val="es-AR"/>
        </w:rPr>
        <w:t xml:space="preserve">High School and Beyond </w:t>
      </w:r>
      <w:r w:rsidRPr="000973F3">
        <w:rPr>
          <w:rFonts w:ascii="Segoe UI" w:hAnsi="Segoe UI" w:cs="Segoe UI"/>
          <w:sz w:val="17"/>
          <w:szCs w:val="17"/>
          <w:lang w:val="es-AR"/>
        </w:rPr>
        <w:t>(HSBP). Sin embargo, los programas de doble crédito ofrecen muchas maneras para que los estudiantes avancen en sus metas académicas y profesionales.</w:t>
      </w:r>
    </w:p>
    <w:p w14:paraId="6E20F1BA" w14:textId="77777777" w:rsidR="00191044" w:rsidRPr="000973F3" w:rsidRDefault="00732F70" w:rsidP="00D5254B">
      <w:pPr>
        <w:pStyle w:val="NoSpacing"/>
        <w:spacing w:before="220" w:after="220"/>
        <w:rPr>
          <w:rFonts w:ascii="Segoe UI" w:hAnsi="Segoe UI" w:cs="Segoe UI"/>
          <w:sz w:val="17"/>
          <w:szCs w:val="17"/>
        </w:rPr>
      </w:pPr>
      <w:r w:rsidRPr="000973F3">
        <w:rPr>
          <w:rFonts w:ascii="Segoe UI" w:hAnsi="Segoe UI" w:cs="Segoe UI"/>
          <w:sz w:val="17"/>
          <w:szCs w:val="17"/>
          <w:lang w:val="es-AR"/>
        </w:rPr>
        <w:t xml:space="preserve">El Estado de Washington tiene seis programas de doble crédito. Los programas preparatorios para la universidad con exámenes son </w:t>
      </w:r>
      <w:r w:rsidRPr="000973F3">
        <w:rPr>
          <w:rFonts w:ascii="Segoe UI" w:hAnsi="Segoe UI" w:cs="Segoe UI"/>
          <w:i/>
          <w:iCs/>
          <w:sz w:val="17"/>
          <w:szCs w:val="17"/>
          <w:lang w:val="es-AR"/>
        </w:rPr>
        <w:t xml:space="preserve">Advanced Placement, Cambridge International </w:t>
      </w:r>
      <w:r w:rsidRPr="000973F3">
        <w:rPr>
          <w:rFonts w:ascii="Segoe UI" w:hAnsi="Segoe UI" w:cs="Segoe UI"/>
          <w:sz w:val="17"/>
          <w:szCs w:val="17"/>
          <w:lang w:val="es-AR"/>
        </w:rPr>
        <w:t>y</w:t>
      </w:r>
      <w:r w:rsidRPr="000973F3">
        <w:rPr>
          <w:rFonts w:ascii="Segoe UI" w:hAnsi="Segoe UI" w:cs="Segoe UI"/>
          <w:i/>
          <w:iCs/>
          <w:sz w:val="17"/>
          <w:szCs w:val="17"/>
          <w:lang w:val="es-AR"/>
        </w:rPr>
        <w:t xml:space="preserve"> International Baccalaureate.</w:t>
      </w:r>
      <w:r w:rsidRPr="000973F3">
        <w:rPr>
          <w:rFonts w:ascii="Segoe UI" w:hAnsi="Segoe UI" w:cs="Segoe UI"/>
          <w:sz w:val="17"/>
          <w:szCs w:val="17"/>
          <w:lang w:val="es-AR"/>
        </w:rPr>
        <w:t xml:space="preserve"> Los programas de doble crédito basados en clases son Educación Profesional y Técnica (CTE, en inglés) Doble Crédito, </w:t>
      </w:r>
      <w:r w:rsidRPr="000973F3">
        <w:rPr>
          <w:rFonts w:ascii="Segoe UI" w:hAnsi="Segoe UI" w:cs="Segoe UI"/>
          <w:i/>
          <w:iCs/>
          <w:sz w:val="17"/>
          <w:szCs w:val="17"/>
          <w:lang w:val="es-AR"/>
        </w:rPr>
        <w:t xml:space="preserve">College in the High School </w:t>
      </w:r>
      <w:r w:rsidRPr="000973F3">
        <w:rPr>
          <w:rFonts w:ascii="Segoe UI" w:hAnsi="Segoe UI" w:cs="Segoe UI"/>
          <w:sz w:val="17"/>
          <w:szCs w:val="17"/>
          <w:lang w:val="es-AR"/>
        </w:rPr>
        <w:t xml:space="preserve">y </w:t>
      </w:r>
      <w:r w:rsidRPr="000973F3">
        <w:rPr>
          <w:rFonts w:ascii="Segoe UI" w:hAnsi="Segoe UI" w:cs="Segoe UI"/>
          <w:i/>
          <w:iCs/>
          <w:sz w:val="17"/>
          <w:szCs w:val="17"/>
          <w:lang w:val="es-AR"/>
        </w:rPr>
        <w:t>Running Start</w:t>
      </w:r>
      <w:r w:rsidRPr="000973F3">
        <w:rPr>
          <w:rFonts w:ascii="Segoe UI" w:hAnsi="Segoe UI" w:cs="Segoe UI"/>
          <w:sz w:val="17"/>
          <w:szCs w:val="17"/>
          <w:lang w:val="es-AR"/>
        </w:rPr>
        <w:t xml:space="preserve">. Si bien no es un programa tradicional de doble crédito, </w:t>
      </w:r>
      <w:r w:rsidRPr="000973F3">
        <w:rPr>
          <w:rFonts w:ascii="Segoe UI" w:hAnsi="Segoe UI" w:cs="Segoe UI"/>
          <w:i/>
          <w:iCs/>
          <w:sz w:val="17"/>
          <w:szCs w:val="17"/>
          <w:lang w:val="es-AR"/>
        </w:rPr>
        <w:t xml:space="preserve">Open Doors Youth Re-Engagement </w:t>
      </w:r>
      <w:r w:rsidRPr="000973F3">
        <w:rPr>
          <w:rFonts w:ascii="Segoe UI" w:hAnsi="Segoe UI" w:cs="Segoe UI"/>
          <w:sz w:val="17"/>
          <w:szCs w:val="17"/>
          <w:lang w:val="es-AR"/>
        </w:rPr>
        <w:t xml:space="preserve">también ayuda a los estudiantes que no se espera que se gradúen antes de los 21 años a obtener créditos universitarios. </w:t>
      </w:r>
      <w:r w:rsidRPr="000973F3">
        <w:rPr>
          <w:rFonts w:ascii="Segoe UI" w:hAnsi="Segoe UI" w:cs="Segoe UI"/>
          <w:b/>
          <w:bCs/>
          <w:sz w:val="17"/>
          <w:szCs w:val="17"/>
          <w:highlight w:val="yellow"/>
          <w:lang w:val="es-AR"/>
        </w:rPr>
        <w:t>[High School]</w:t>
      </w:r>
      <w:r w:rsidRPr="000973F3">
        <w:rPr>
          <w:rFonts w:ascii="Segoe UI" w:hAnsi="Segoe UI" w:cs="Segoe UI"/>
          <w:sz w:val="17"/>
          <w:szCs w:val="17"/>
          <w:lang w:val="es-AR"/>
        </w:rPr>
        <w:t xml:space="preserve"> ofrece los programas de doble crédito que se describen en el documento adjunto. </w:t>
      </w:r>
      <w:r w:rsidRPr="000973F3">
        <w:rPr>
          <w:rFonts w:ascii="Segoe UI" w:hAnsi="Segoe UI" w:cs="Segoe UI"/>
          <w:b/>
          <w:bCs/>
          <w:sz w:val="17"/>
          <w:szCs w:val="17"/>
          <w:highlight w:val="yellow"/>
        </w:rPr>
        <w:t>[Modify/brand program one-pager accordingly.]</w:t>
      </w:r>
    </w:p>
    <w:p w14:paraId="20C87232" w14:textId="77777777" w:rsidR="00191044" w:rsidRPr="000973F3" w:rsidRDefault="000B3471" w:rsidP="00D5254B">
      <w:pPr>
        <w:pStyle w:val="NoSpacing"/>
        <w:spacing w:before="220" w:after="220"/>
        <w:rPr>
          <w:rFonts w:ascii="Segoe UI" w:hAnsi="Segoe UI" w:cs="Segoe UI"/>
          <w:sz w:val="17"/>
          <w:szCs w:val="17"/>
        </w:rPr>
      </w:pPr>
      <w:r w:rsidRPr="000973F3">
        <w:rPr>
          <w:rFonts w:ascii="Segoe UI" w:hAnsi="Segoe UI" w:cs="Segoe UI"/>
          <w:sz w:val="17"/>
          <w:szCs w:val="17"/>
        </w:rPr>
        <w:t xml:space="preserve">Las clases disponibles a través de estos programas se pueden encontrar en </w:t>
      </w:r>
      <w:r w:rsidRPr="000973F3">
        <w:rPr>
          <w:rFonts w:ascii="Segoe UI" w:hAnsi="Segoe UI" w:cs="Segoe UI"/>
          <w:b/>
          <w:bCs/>
          <w:sz w:val="17"/>
          <w:szCs w:val="17"/>
          <w:highlight w:val="yellow"/>
        </w:rPr>
        <w:t>[describe where they can be found in your district’s resources – e.g. class catalogs, websites, advising materials, HSBP, etc. – and how they are designated. You may also include this on the program one-pager.]</w:t>
      </w:r>
      <w:r w:rsidRPr="000973F3">
        <w:rPr>
          <w:rFonts w:ascii="Segoe UI" w:hAnsi="Segoe UI" w:cs="Segoe UI"/>
          <w:sz w:val="17"/>
          <w:szCs w:val="17"/>
        </w:rPr>
        <w:t>.</w:t>
      </w:r>
    </w:p>
    <w:p w14:paraId="3C0FB46E" w14:textId="77777777" w:rsidR="00191044" w:rsidRPr="000973F3" w:rsidRDefault="00732F70" w:rsidP="005C04AE">
      <w:pPr>
        <w:pStyle w:val="NoSpacing"/>
        <w:spacing w:before="220" w:after="220"/>
        <w:ind w:right="-138"/>
        <w:rPr>
          <w:rFonts w:ascii="Segoe UI" w:hAnsi="Segoe UI" w:cs="Segoe UI"/>
          <w:spacing w:val="-2"/>
          <w:sz w:val="17"/>
          <w:szCs w:val="17"/>
          <w:lang w:val="es-AR"/>
        </w:rPr>
      </w:pPr>
      <w:r w:rsidRPr="000973F3">
        <w:rPr>
          <w:rFonts w:ascii="Segoe UI" w:hAnsi="Segoe UI" w:cs="Segoe UI"/>
          <w:spacing w:val="-2"/>
          <w:sz w:val="17"/>
          <w:szCs w:val="17"/>
          <w:lang w:val="es-AR"/>
        </w:rPr>
        <w:t xml:space="preserve">Todos los programas de doble crédito están marcados en el expediente académico oficial de la escuela secundaria, independientemente de que el estudiante obtenga créditos universitarios o no. Los estudiantes deben solicitar y presentar los expedientes académicos oficiales de la universidad para poder transferir los créditos universitarios obtenidos a las universidades a las que se postulan. Puede encontrar más información sobre cada programa en la página web de los programas de </w:t>
      </w:r>
      <w:hyperlink r:id="rId10" w:history="1">
        <w:r w:rsidRPr="000973F3">
          <w:rPr>
            <w:rStyle w:val="Hyperlink"/>
            <w:rFonts w:ascii="Segoe UI" w:hAnsi="Segoe UI" w:cs="Segoe UI"/>
            <w:spacing w:val="-2"/>
            <w:sz w:val="17"/>
            <w:szCs w:val="17"/>
            <w:lang w:val="es-AR"/>
          </w:rPr>
          <w:t>doble crédito</w:t>
        </w:r>
        <w:r w:rsidRPr="000973F3">
          <w:rPr>
            <w:rStyle w:val="Hyperlink"/>
            <w:rFonts w:ascii="Segoe UI" w:hAnsi="Segoe UI" w:cs="Segoe UI"/>
            <w:spacing w:val="-2"/>
            <w:sz w:val="17"/>
            <w:szCs w:val="17"/>
            <w:u w:val="none"/>
            <w:lang w:val="es-AR"/>
          </w:rPr>
          <w:t xml:space="preserve"> de la Oficina del Superintendente de Enseñanza Pública (OSPI, en inglés).</w:t>
        </w:r>
      </w:hyperlink>
    </w:p>
    <w:p w14:paraId="582047E2" w14:textId="77777777" w:rsidR="00191044" w:rsidRPr="000973F3" w:rsidRDefault="002B11C6" w:rsidP="00D5254B">
      <w:pPr>
        <w:pStyle w:val="NoSpacing"/>
        <w:spacing w:before="220" w:after="220"/>
        <w:rPr>
          <w:rFonts w:ascii="Segoe UI" w:hAnsi="Segoe UI" w:cs="Segoe UI"/>
          <w:b/>
          <w:bCs/>
          <w:sz w:val="17"/>
          <w:szCs w:val="17"/>
        </w:rPr>
      </w:pPr>
      <w:r w:rsidRPr="000973F3">
        <w:rPr>
          <w:rFonts w:ascii="Segoe UI" w:hAnsi="Segoe UI" w:cs="Segoe UI"/>
          <w:sz w:val="17"/>
          <w:szCs w:val="17"/>
          <w:lang w:val="es-AR"/>
        </w:rPr>
        <w:t xml:space="preserve">Apoyar a los distritos para maximizar el acceso de los estudiantes a las clases de doble crédito es una prioridad para los legisladores de nuestro estado y la OSPI. La mayoría de los programas de doble crédito de Washington se ofrecen a los estudiantes a bajo costo o sin ningún costo como parte de su experiencia de educación pública. Las oportunidades de asistencia económica para cada programa de doble crédito se incluyen en un segundo anexo. </w:t>
      </w:r>
      <w:r w:rsidRPr="000973F3">
        <w:rPr>
          <w:rFonts w:ascii="Segoe UI" w:hAnsi="Segoe UI" w:cs="Segoe UI"/>
          <w:b/>
          <w:bCs/>
          <w:sz w:val="17"/>
          <w:szCs w:val="17"/>
          <w:highlight w:val="yellow"/>
        </w:rPr>
        <w:t>[Modify/brand financial assistance one-pager as necessary to reflect available programs and other school/district resources or practices.]</w:t>
      </w:r>
    </w:p>
    <w:p w14:paraId="681654BB" w14:textId="77777777" w:rsidR="00191044" w:rsidRPr="000973F3" w:rsidRDefault="00732F70" w:rsidP="00415755">
      <w:pPr>
        <w:pStyle w:val="NoSpacing"/>
        <w:spacing w:before="360" w:after="220"/>
        <w:rPr>
          <w:rFonts w:ascii="Segoe UI" w:hAnsi="Segoe UI" w:cs="Segoe UI"/>
          <w:b/>
          <w:bCs/>
          <w:sz w:val="17"/>
          <w:szCs w:val="17"/>
          <w:lang w:val="es-AR"/>
        </w:rPr>
      </w:pPr>
      <w:r w:rsidRPr="000973F3">
        <w:rPr>
          <w:rFonts w:ascii="Segoe UI" w:hAnsi="Segoe UI" w:cs="Segoe UI"/>
          <w:b/>
          <w:bCs/>
          <w:sz w:val="17"/>
          <w:szCs w:val="17"/>
          <w:highlight w:val="yellow"/>
          <w:lang w:val="es-AR"/>
        </w:rPr>
        <w:t>[Insert closing. For example:]</w:t>
      </w:r>
    </w:p>
    <w:p w14:paraId="6ED13042" w14:textId="3687DA9A" w:rsidR="00191044" w:rsidRPr="000973F3" w:rsidRDefault="00732F70" w:rsidP="00D5254B">
      <w:pPr>
        <w:pStyle w:val="NoSpacing"/>
        <w:spacing w:before="220" w:after="220"/>
        <w:rPr>
          <w:rFonts w:ascii="Segoe UI" w:hAnsi="Segoe UI" w:cs="Segoe UI"/>
          <w:sz w:val="17"/>
          <w:szCs w:val="17"/>
          <w:lang w:val="es-AR"/>
        </w:rPr>
      </w:pPr>
      <w:r w:rsidRPr="000973F3">
        <w:rPr>
          <w:rFonts w:ascii="Segoe UI" w:hAnsi="Segoe UI" w:cs="Segoe UI"/>
          <w:b/>
          <w:bCs/>
          <w:sz w:val="17"/>
          <w:szCs w:val="17"/>
          <w:highlight w:val="yellow"/>
          <w:lang w:val="es-AR"/>
        </w:rPr>
        <w:t>[High School]</w:t>
      </w:r>
      <w:r w:rsidRPr="000973F3">
        <w:rPr>
          <w:rFonts w:ascii="Segoe UI" w:hAnsi="Segoe UI" w:cs="Segoe UI"/>
          <w:sz w:val="17"/>
          <w:szCs w:val="17"/>
          <w:lang w:val="es-AR"/>
        </w:rPr>
        <w:t xml:space="preserve"> Reconocemos el valor del doble crédito y la importancia de garantizar un acceso equitativo a estas oportunidades. Alentamos a los estudiantes interesados a trabajar en estrecha colaboración con nuestros consejeros escolares para encontrar las mejores opciones para sus objetivos académicos y profesionales. Las preguntas sobre las clases de doble crédito en </w:t>
      </w:r>
      <w:r w:rsidR="005C04AE" w:rsidRPr="000973F3">
        <w:rPr>
          <w:rFonts w:ascii="Segoe UI" w:hAnsi="Segoe UI" w:cs="Segoe UI"/>
          <w:sz w:val="17"/>
          <w:szCs w:val="17"/>
          <w:lang w:val="es-AR"/>
        </w:rPr>
        <w:br/>
      </w:r>
      <w:r w:rsidRPr="000973F3">
        <w:rPr>
          <w:rFonts w:ascii="Segoe UI" w:hAnsi="Segoe UI" w:cs="Segoe UI"/>
          <w:b/>
          <w:bCs/>
          <w:sz w:val="17"/>
          <w:szCs w:val="17"/>
          <w:highlight w:val="yellow"/>
          <w:lang w:val="es-AR"/>
        </w:rPr>
        <w:t>[High School]</w:t>
      </w:r>
      <w:r w:rsidRPr="000973F3">
        <w:rPr>
          <w:rFonts w:ascii="Segoe UI" w:hAnsi="Segoe UI" w:cs="Segoe UI"/>
          <w:sz w:val="17"/>
          <w:szCs w:val="17"/>
          <w:lang w:val="es-AR"/>
        </w:rPr>
        <w:t xml:space="preserve"> pueden dirigirse a </w:t>
      </w:r>
      <w:r w:rsidRPr="000973F3">
        <w:rPr>
          <w:rFonts w:ascii="Segoe UI" w:hAnsi="Segoe UI" w:cs="Segoe UI"/>
          <w:b/>
          <w:bCs/>
          <w:sz w:val="17"/>
          <w:szCs w:val="17"/>
          <w:highlight w:val="yellow"/>
          <w:lang w:val="es-AR"/>
        </w:rPr>
        <w:t>[Staff Name or List Below]</w:t>
      </w:r>
      <w:r w:rsidRPr="000973F3">
        <w:rPr>
          <w:rFonts w:ascii="Segoe UI" w:hAnsi="Segoe UI" w:cs="Segoe UI"/>
          <w:sz w:val="17"/>
          <w:szCs w:val="17"/>
          <w:lang w:val="es-AR"/>
        </w:rPr>
        <w:t xml:space="preserve">. </w:t>
      </w:r>
    </w:p>
    <w:p w14:paraId="541221D0" w14:textId="5E084704" w:rsidR="004558ED" w:rsidRPr="000973F3" w:rsidRDefault="00732F70" w:rsidP="00D5254B">
      <w:pPr>
        <w:pStyle w:val="NoSpacing"/>
        <w:spacing w:before="220" w:after="220"/>
        <w:rPr>
          <w:rFonts w:ascii="Segoe UI" w:hAnsi="Segoe UI" w:cs="Segoe UI"/>
          <w:sz w:val="17"/>
          <w:szCs w:val="17"/>
        </w:rPr>
      </w:pPr>
      <w:r w:rsidRPr="000973F3">
        <w:rPr>
          <w:rFonts w:ascii="Segoe UI" w:hAnsi="Segoe UI" w:cs="Segoe UI"/>
          <w:b/>
          <w:bCs/>
          <w:sz w:val="17"/>
          <w:szCs w:val="17"/>
          <w:highlight w:val="yellow"/>
        </w:rPr>
        <w:t>[Valediction, Signature, and Contact Information]</w:t>
      </w:r>
      <w:r w:rsidRPr="000973F3">
        <w:rPr>
          <w:rFonts w:ascii="Segoe UI" w:hAnsi="Segoe UI" w:cs="Segoe UI"/>
          <w:b/>
          <w:bCs/>
          <w:sz w:val="17"/>
          <w:szCs w:val="17"/>
        </w:rPr>
        <w:t xml:space="preserve"> </w:t>
      </w:r>
      <w:r w:rsidRPr="000973F3">
        <w:rPr>
          <w:rFonts w:ascii="Segoe UI" w:hAnsi="Segoe UI" w:cs="Segoe UI"/>
          <w:sz w:val="17"/>
          <w:szCs w:val="17"/>
        </w:rPr>
        <w:br w:type="page"/>
      </w:r>
    </w:p>
    <w:p w14:paraId="19C8E799" w14:textId="5F8B95CD" w:rsidR="00191044" w:rsidRPr="000973F3" w:rsidRDefault="00732F70" w:rsidP="00823715">
      <w:pPr>
        <w:pStyle w:val="Heading1"/>
        <w:rPr>
          <w:b w:val="0"/>
          <w:sz w:val="20"/>
          <w:szCs w:val="20"/>
          <w:lang w:val="es-AR"/>
        </w:rPr>
      </w:pPr>
      <w:r w:rsidRPr="000973F3">
        <w:rPr>
          <w:bCs/>
          <w:sz w:val="20"/>
          <w:szCs w:val="20"/>
          <w:lang w:val="es-AR"/>
        </w:rPr>
        <w:lastRenderedPageBreak/>
        <w:t xml:space="preserve">Programas de doble crédito reconocidos por el </w:t>
      </w:r>
      <w:r w:rsidR="005C04AE" w:rsidRPr="000973F3">
        <w:rPr>
          <w:bCs/>
          <w:sz w:val="20"/>
          <w:szCs w:val="20"/>
          <w:lang w:val="es-AR"/>
        </w:rPr>
        <w:br/>
      </w:r>
      <w:r w:rsidRPr="000973F3">
        <w:rPr>
          <w:bCs/>
          <w:sz w:val="20"/>
          <w:szCs w:val="20"/>
          <w:lang w:val="es-AR"/>
        </w:rPr>
        <w:t>Estado de Washington</w:t>
      </w:r>
    </w:p>
    <w:p w14:paraId="2C56FFCD" w14:textId="08FEC1C7" w:rsidR="00191044" w:rsidRPr="000973F3" w:rsidRDefault="0095667F" w:rsidP="00314D7A">
      <w:pPr>
        <w:pStyle w:val="NoSpacing"/>
        <w:spacing w:before="200" w:after="200"/>
        <w:rPr>
          <w:rFonts w:ascii="Segoe UI" w:hAnsi="Segoe UI" w:cs="Segoe UI"/>
          <w:b/>
          <w:bCs/>
          <w:sz w:val="17"/>
          <w:szCs w:val="17"/>
          <w:lang w:val="es-AR"/>
        </w:rPr>
      </w:pPr>
      <w:r w:rsidRPr="000973F3">
        <w:rPr>
          <w:rFonts w:ascii="Segoe UI" w:hAnsi="Segoe UI" w:cs="Segoe UI"/>
          <w:b/>
          <w:bCs/>
          <w:sz w:val="17"/>
          <w:szCs w:val="17"/>
          <w:highlight w:val="yellow"/>
        </w:rPr>
        <w:t xml:space="preserve">[To increase awareness of dual credit options, keep all programs on this one-pager, </w:t>
      </w:r>
      <w:r w:rsidR="005C04AE" w:rsidRPr="000973F3">
        <w:rPr>
          <w:rFonts w:ascii="Segoe UI" w:hAnsi="Segoe UI" w:cs="Segoe UI"/>
          <w:b/>
          <w:bCs/>
          <w:sz w:val="17"/>
          <w:szCs w:val="17"/>
          <w:highlight w:val="yellow"/>
        </w:rPr>
        <w:br/>
      </w:r>
      <w:r w:rsidRPr="000973F3">
        <w:rPr>
          <w:rFonts w:ascii="Segoe UI" w:hAnsi="Segoe UI" w:cs="Segoe UI"/>
          <w:b/>
          <w:bCs/>
          <w:sz w:val="17"/>
          <w:szCs w:val="17"/>
          <w:highlight w:val="yellow"/>
        </w:rPr>
        <w:t xml:space="preserve">but indicate which of the following programs are available through your school, program, or district. </w:t>
      </w:r>
      <w:r w:rsidRPr="000973F3">
        <w:rPr>
          <w:rFonts w:ascii="Segoe UI" w:hAnsi="Segoe UI" w:cs="Segoe UI"/>
          <w:b/>
          <w:bCs/>
          <w:sz w:val="17"/>
          <w:szCs w:val="17"/>
          <w:highlight w:val="yellow"/>
          <w:u w:val="single"/>
          <w:lang w:val="es-AR"/>
        </w:rPr>
        <w:t>Remove this statement once content is adjusted</w:t>
      </w:r>
      <w:r w:rsidRPr="000973F3">
        <w:rPr>
          <w:rFonts w:ascii="Segoe UI" w:hAnsi="Segoe UI" w:cs="Segoe UI"/>
          <w:b/>
          <w:bCs/>
          <w:sz w:val="17"/>
          <w:szCs w:val="17"/>
          <w:highlight w:val="yellow"/>
          <w:lang w:val="es-AR"/>
        </w:rPr>
        <w:t>.]</w:t>
      </w:r>
    </w:p>
    <w:p w14:paraId="3CB9F4C7" w14:textId="77777777" w:rsidR="00191044" w:rsidRPr="000973F3" w:rsidRDefault="005936AD" w:rsidP="00402BE8">
      <w:pPr>
        <w:pStyle w:val="Heading2"/>
        <w:rPr>
          <w:b w:val="0"/>
          <w:sz w:val="17"/>
          <w:szCs w:val="17"/>
          <w:lang w:val="es-AR"/>
        </w:rPr>
      </w:pPr>
      <w:r w:rsidRPr="000973F3">
        <w:rPr>
          <w:bCs/>
          <w:sz w:val="17"/>
          <w:szCs w:val="17"/>
          <w:lang w:val="es-AR"/>
        </w:rPr>
        <w:t>Clases de doble crédito preparatorias para la universidad con exámenes</w:t>
      </w:r>
    </w:p>
    <w:p w14:paraId="2AFB80A4" w14:textId="20A03264" w:rsidR="00C5143B" w:rsidRPr="000973F3" w:rsidRDefault="00732F70" w:rsidP="00E965C2">
      <w:pPr>
        <w:pStyle w:val="Heading3"/>
        <w:rPr>
          <w:rFonts w:ascii="Aptos" w:eastAsia="Aptos" w:hAnsi="Aptos" w:cs="Aptos"/>
          <w:i/>
          <w:iCs/>
          <w:sz w:val="17"/>
          <w:szCs w:val="17"/>
          <w:lang w:val="es-AR"/>
        </w:rPr>
      </w:pPr>
      <w:r w:rsidRPr="000973F3">
        <w:rPr>
          <w:bCs/>
          <w:i/>
          <w:iCs/>
          <w:sz w:val="17"/>
          <w:szCs w:val="17"/>
          <w:lang w:val="es-AR"/>
        </w:rPr>
        <w:t xml:space="preserve">Advanced Placement </w:t>
      </w:r>
      <w:r w:rsidRPr="000973F3">
        <w:rPr>
          <w:bCs/>
          <w:sz w:val="17"/>
          <w:szCs w:val="17"/>
          <w:lang w:val="es-AR"/>
        </w:rPr>
        <w:t>(AP):</w:t>
      </w:r>
      <w:r w:rsidRPr="000973F3">
        <w:rPr>
          <w:rFonts w:ascii="Aptos" w:hAnsi="Aptos"/>
          <w:bCs/>
          <w:i/>
          <w:iCs/>
          <w:sz w:val="17"/>
          <w:szCs w:val="17"/>
          <w:lang w:val="es-AR"/>
        </w:rPr>
        <w:t xml:space="preserve"> </w:t>
      </w:r>
    </w:p>
    <w:p w14:paraId="53448E41" w14:textId="400B9D6C" w:rsidR="00191044" w:rsidRPr="000973F3" w:rsidRDefault="5FE53C37" w:rsidP="005C04AE">
      <w:pPr>
        <w:spacing w:after="200"/>
        <w:ind w:right="4"/>
        <w:rPr>
          <w:rFonts w:ascii="Segoe UI" w:eastAsia="Aptos" w:hAnsi="Segoe UI" w:cs="Segoe UI"/>
          <w:sz w:val="17"/>
          <w:szCs w:val="17"/>
          <w:lang w:val="es-AR"/>
        </w:rPr>
      </w:pPr>
      <w:r w:rsidRPr="000973F3">
        <w:rPr>
          <w:rFonts w:ascii="Segoe UI" w:eastAsia="Aptos" w:hAnsi="Segoe UI" w:cs="Segoe UI"/>
          <w:sz w:val="17"/>
          <w:szCs w:val="17"/>
          <w:lang w:val="es-AR"/>
        </w:rPr>
        <w:t xml:space="preserve">El programa </w:t>
      </w:r>
      <w:r w:rsidRPr="000973F3">
        <w:rPr>
          <w:rFonts w:ascii="Segoe UI" w:eastAsia="Aptos" w:hAnsi="Segoe UI" w:cs="Segoe UI"/>
          <w:i/>
          <w:iCs/>
          <w:sz w:val="17"/>
          <w:szCs w:val="17"/>
          <w:lang w:val="es-AR"/>
        </w:rPr>
        <w:t xml:space="preserve">Advanced Placement </w:t>
      </w:r>
      <w:r w:rsidRPr="000973F3">
        <w:rPr>
          <w:rFonts w:ascii="Segoe UI" w:eastAsia="Aptos" w:hAnsi="Segoe UI" w:cs="Segoe UI"/>
          <w:sz w:val="17"/>
          <w:szCs w:val="17"/>
          <w:lang w:val="es-AR"/>
        </w:rPr>
        <w:t xml:space="preserve">ofrece a los estudiantes la oportunidad de tomar cursos y exámenes de nivel universitario y obtener créditos universitarios mientras están en la escuela secundaria. Con 40 cursos de AP que se ofrecen en todas las áreas temáticas, hay un curso de AP para cada estudiante. Los estudiantes realizan un examen AP al final de su curso de AP para tener la oportunidad de obtener créditos universitarios, una colocación avanzada o ambos. </w:t>
      </w:r>
      <w:r w:rsidR="005C04AE" w:rsidRPr="000973F3">
        <w:rPr>
          <w:rFonts w:ascii="Segoe UI" w:eastAsia="Aptos" w:hAnsi="Segoe UI" w:cs="Segoe UI"/>
          <w:sz w:val="17"/>
          <w:szCs w:val="17"/>
          <w:lang w:val="es-AR"/>
        </w:rPr>
        <w:br/>
      </w:r>
      <w:r w:rsidRPr="000973F3">
        <w:rPr>
          <w:rFonts w:ascii="Segoe UI" w:eastAsia="Aptos" w:hAnsi="Segoe UI" w:cs="Segoe UI"/>
          <w:sz w:val="17"/>
          <w:szCs w:val="17"/>
          <w:lang w:val="es-AR"/>
        </w:rPr>
        <w:t xml:space="preserve">Casi todos los colegios y universidades de los Estados Unidos otorgan créditos y colocaciones para las puntuaciones de AP que califican. Si bien una puntuación que califique puede ayudar a los estudiantes a ahorrar tiempo y dinero en la universidad, las investigaciones muestran de manera constante que los estudiantes de AP están mejor preparados para la universidad que los estudiantes que no toman AP, más allá de la puntuación de su examen. Los estudiantes de AP tienen más probabilidades de inscribirse y permanecer en la universidad, obtener buenos resultados en sus clases y graduarse a tiempo. Los cursos y exámenes de AP desarrollan habilidades y confianza esenciales que pueden ayudar a los estudiantes a sobresalir en las admisiones universitarias, prosperar y tener éxito en la universidad y prepararse para el </w:t>
      </w:r>
      <w:r w:rsidR="005C04AE" w:rsidRPr="000973F3">
        <w:rPr>
          <w:rFonts w:ascii="Segoe UI" w:eastAsia="Aptos" w:hAnsi="Segoe UI" w:cs="Segoe UI"/>
          <w:sz w:val="17"/>
          <w:szCs w:val="17"/>
          <w:lang w:val="es-AR"/>
        </w:rPr>
        <w:br/>
      </w:r>
      <w:r w:rsidRPr="000973F3">
        <w:rPr>
          <w:rFonts w:ascii="Segoe UI" w:eastAsia="Aptos" w:hAnsi="Segoe UI" w:cs="Segoe UI"/>
          <w:sz w:val="17"/>
          <w:szCs w:val="17"/>
          <w:lang w:val="es-AR"/>
        </w:rPr>
        <w:t>éxito profesional.</w:t>
      </w:r>
    </w:p>
    <w:p w14:paraId="6956BC06" w14:textId="44F056F3" w:rsidR="00453FE7" w:rsidRPr="000973F3" w:rsidRDefault="00732F70" w:rsidP="000E13B7">
      <w:pPr>
        <w:pStyle w:val="Heading3"/>
        <w:rPr>
          <w:sz w:val="17"/>
          <w:szCs w:val="17"/>
          <w:lang w:val="es-AR"/>
        </w:rPr>
      </w:pPr>
      <w:r w:rsidRPr="000973F3">
        <w:rPr>
          <w:bCs/>
          <w:i/>
          <w:iCs/>
          <w:sz w:val="17"/>
          <w:szCs w:val="17"/>
          <w:lang w:val="es-AR"/>
        </w:rPr>
        <w:t xml:space="preserve">Cambridge International </w:t>
      </w:r>
      <w:r w:rsidRPr="000973F3">
        <w:rPr>
          <w:bCs/>
          <w:sz w:val="17"/>
          <w:szCs w:val="17"/>
          <w:lang w:val="es-AR"/>
        </w:rPr>
        <w:t xml:space="preserve">(nivel AS y A): </w:t>
      </w:r>
    </w:p>
    <w:p w14:paraId="3D9FDEB7" w14:textId="77777777" w:rsidR="00191044" w:rsidRPr="000973F3" w:rsidRDefault="006A2F44" w:rsidP="00EE17DF">
      <w:pPr>
        <w:pStyle w:val="NoSpacing"/>
        <w:spacing w:after="200"/>
        <w:rPr>
          <w:rStyle w:val="Hyperlink"/>
          <w:rFonts w:ascii="Segoe UI" w:hAnsi="Segoe UI" w:cs="Segoe UI"/>
          <w:sz w:val="17"/>
          <w:szCs w:val="17"/>
        </w:rPr>
      </w:pPr>
      <w:r w:rsidRPr="000973F3">
        <w:rPr>
          <w:rFonts w:ascii="Segoe UI" w:hAnsi="Segoe UI" w:cs="Segoe UI"/>
          <w:sz w:val="17"/>
          <w:szCs w:val="17"/>
          <w:lang w:val="es-AR"/>
        </w:rPr>
        <w:t xml:space="preserve">Los estudiantes de secundaria adquieren conocimientos, habilidades y confianza con los cursos avanzados de Cambridge de nivel universitario, y pueden obtener créditos universitarios con los exámenes </w:t>
      </w:r>
      <w:r w:rsidRPr="000973F3">
        <w:rPr>
          <w:rFonts w:ascii="Segoe UI" w:hAnsi="Segoe UI" w:cs="Segoe UI"/>
          <w:i/>
          <w:iCs/>
          <w:sz w:val="17"/>
          <w:szCs w:val="17"/>
          <w:lang w:val="es-AR"/>
        </w:rPr>
        <w:t>Cambridge Advanced</w:t>
      </w:r>
      <w:r w:rsidRPr="000973F3">
        <w:rPr>
          <w:rFonts w:ascii="Segoe UI" w:hAnsi="Segoe UI" w:cs="Segoe UI"/>
          <w:sz w:val="17"/>
          <w:szCs w:val="17"/>
          <w:lang w:val="es-AR"/>
        </w:rPr>
        <w:t xml:space="preserve"> (nivel AS &amp; A internacional) en todos los colegios y universidades públicas de Washington. Los estudiantes de Cambridge también pueden recibir créditos universitarios, prácticas y reconocimientos en más de 1000 instituciones de los EE. UU., y en muchas más a nivel internacional, para obtener los niveles AS &amp; A y el diploma AICE de Cambridge. Como organización global con una historia de 160 años como parte de la Universidad de Cambridge, </w:t>
      </w:r>
      <w:r w:rsidRPr="000973F3">
        <w:rPr>
          <w:rFonts w:ascii="Segoe UI" w:hAnsi="Segoe UI" w:cs="Segoe UI"/>
          <w:i/>
          <w:iCs/>
          <w:sz w:val="17"/>
          <w:szCs w:val="17"/>
          <w:lang w:val="es-AR"/>
        </w:rPr>
        <w:t>Cambridge International Education</w:t>
      </w:r>
      <w:r w:rsidRPr="000973F3">
        <w:rPr>
          <w:rFonts w:ascii="Segoe UI" w:hAnsi="Segoe UI" w:cs="Segoe UI"/>
          <w:sz w:val="17"/>
          <w:szCs w:val="17"/>
          <w:lang w:val="es-AR"/>
        </w:rPr>
        <w:t xml:space="preserve"> ofrece un plan de estudios, evaluaciones y recursos rigurosos diseñados para ayudar a los estudiantes de prejardín a 12.</w:t>
      </w:r>
      <w:r w:rsidRPr="000973F3">
        <w:rPr>
          <w:rFonts w:ascii="Segoe UI" w:hAnsi="Segoe UI" w:cs="Segoe UI"/>
          <w:sz w:val="17"/>
          <w:szCs w:val="17"/>
          <w:vertAlign w:val="superscript"/>
          <w:lang w:val="es-AR"/>
        </w:rPr>
        <w:t xml:space="preserve">o </w:t>
      </w:r>
      <w:r w:rsidRPr="000973F3">
        <w:rPr>
          <w:rFonts w:ascii="Segoe UI" w:hAnsi="Segoe UI" w:cs="Segoe UI"/>
          <w:sz w:val="17"/>
          <w:szCs w:val="17"/>
          <w:lang w:val="es-AR"/>
        </w:rPr>
        <w:t xml:space="preserve">grado a desarrollar los conocimientos y habilidades académicas, técnicas y de empleabilidad que necesitan para tener éxito en la universidad y en sus carreras. Obtenga más información en </w:t>
      </w:r>
      <w:hyperlink r:id="rId11" w:history="1">
        <w:r w:rsidRPr="000973F3">
          <w:rPr>
            <w:rStyle w:val="Hyperlink"/>
            <w:rFonts w:ascii="Segoe UI" w:hAnsi="Segoe UI" w:cs="Segoe UI"/>
            <w:sz w:val="17"/>
            <w:szCs w:val="17"/>
            <w:lang w:val="es-AR"/>
          </w:rPr>
          <w:t>www.cambridgeinternational.org/usa/.</w:t>
        </w:r>
      </w:hyperlink>
    </w:p>
    <w:p w14:paraId="43C26B85" w14:textId="77777777" w:rsidR="005C04AE" w:rsidRPr="000973F3" w:rsidRDefault="005C04AE" w:rsidP="00EE17DF">
      <w:pPr>
        <w:pStyle w:val="NoSpacing"/>
        <w:spacing w:after="200"/>
        <w:rPr>
          <w:rFonts w:ascii="Segoe UI" w:hAnsi="Segoe UI" w:cs="Segoe UI"/>
          <w:b/>
          <w:bCs/>
          <w:sz w:val="17"/>
          <w:szCs w:val="17"/>
          <w:lang w:val="es-AR"/>
        </w:rPr>
      </w:pPr>
    </w:p>
    <w:p w14:paraId="120262C3" w14:textId="081235A0" w:rsidR="00C5143B" w:rsidRPr="000973F3" w:rsidRDefault="000B5A87" w:rsidP="000E13B7">
      <w:pPr>
        <w:pStyle w:val="Heading3"/>
        <w:rPr>
          <w:rFonts w:ascii="Arial" w:eastAsia="Arial" w:hAnsi="Arial" w:cs="Arial"/>
          <w:color w:val="333333"/>
          <w:sz w:val="17"/>
          <w:szCs w:val="17"/>
          <w:lang w:val="es-AR"/>
        </w:rPr>
      </w:pPr>
      <w:r w:rsidRPr="000973F3">
        <w:rPr>
          <w:bCs/>
          <w:i/>
          <w:iCs/>
          <w:sz w:val="17"/>
          <w:szCs w:val="17"/>
          <w:lang w:val="es-AR"/>
        </w:rPr>
        <w:t xml:space="preserve">International Baccalaureate </w:t>
      </w:r>
      <w:r w:rsidRPr="000973F3">
        <w:rPr>
          <w:bCs/>
          <w:sz w:val="17"/>
          <w:szCs w:val="17"/>
          <w:lang w:val="es-AR"/>
        </w:rPr>
        <w:t>(IB):</w:t>
      </w:r>
      <w:r w:rsidRPr="000973F3">
        <w:rPr>
          <w:rFonts w:ascii="Arial" w:hAnsi="Arial"/>
          <w:bCs/>
          <w:color w:val="333333"/>
          <w:sz w:val="17"/>
          <w:szCs w:val="17"/>
          <w:lang w:val="es-AR"/>
        </w:rPr>
        <w:t xml:space="preserve"> </w:t>
      </w:r>
    </w:p>
    <w:p w14:paraId="0024E4F9" w14:textId="77777777" w:rsidR="00191044" w:rsidRPr="000973F3" w:rsidRDefault="3DF0C5D8" w:rsidP="0019399C">
      <w:pPr>
        <w:spacing w:after="200"/>
        <w:rPr>
          <w:rFonts w:ascii="Segoe UI" w:eastAsia="Arial" w:hAnsi="Segoe UI" w:cs="Segoe UI"/>
          <w:color w:val="333333"/>
          <w:sz w:val="17"/>
          <w:szCs w:val="17"/>
          <w:lang w:val="es-AR"/>
        </w:rPr>
      </w:pPr>
      <w:r w:rsidRPr="000973F3">
        <w:rPr>
          <w:rFonts w:ascii="Segoe UI" w:eastAsia="Arial" w:hAnsi="Segoe UI" w:cs="Segoe UI"/>
          <w:color w:val="333333"/>
          <w:sz w:val="17"/>
          <w:szCs w:val="17"/>
          <w:lang w:val="es-AR"/>
        </w:rPr>
        <w:t xml:space="preserve">El Programa </w:t>
      </w:r>
      <w:r w:rsidRPr="000973F3">
        <w:rPr>
          <w:rFonts w:ascii="Segoe UI" w:eastAsia="Arial" w:hAnsi="Segoe UI" w:cs="Segoe UI"/>
          <w:i/>
          <w:iCs/>
          <w:color w:val="333333"/>
          <w:sz w:val="17"/>
          <w:szCs w:val="17"/>
          <w:lang w:val="es-AR"/>
        </w:rPr>
        <w:t>International Baccalaureate Diploma</w:t>
      </w:r>
      <w:r w:rsidRPr="000973F3">
        <w:rPr>
          <w:rFonts w:ascii="Segoe UI" w:eastAsia="Arial" w:hAnsi="Segoe UI" w:cs="Segoe UI"/>
          <w:color w:val="333333"/>
          <w:sz w:val="17"/>
          <w:szCs w:val="17"/>
          <w:lang w:val="es-AR"/>
        </w:rPr>
        <w:t xml:space="preserve"> (DP, en inglés) brinda a los estudiantes la oportunidad de desarrollar su capacidad académica, confianza, pensamiento crítico y habilidades lingüísticas. El plan de estudios del DP, que incluye sus seis grupos de materias y clases principales, permite a los estudiantes aportar sus propias pasiones y habilidades, e invita a </w:t>
      </w:r>
      <w:r w:rsidRPr="000973F3">
        <w:rPr>
          <w:rFonts w:ascii="Segoe UI" w:eastAsia="Arial" w:hAnsi="Segoe UI" w:cs="Segoe UI"/>
          <w:i/>
          <w:iCs/>
          <w:color w:val="333333"/>
          <w:sz w:val="17"/>
          <w:szCs w:val="17"/>
          <w:lang w:val="es-AR"/>
        </w:rPr>
        <w:t>todos</w:t>
      </w:r>
      <w:r w:rsidRPr="000973F3">
        <w:rPr>
          <w:rFonts w:ascii="Segoe UI" w:eastAsia="Arial" w:hAnsi="Segoe UI" w:cs="Segoe UI"/>
          <w:color w:val="333333"/>
          <w:sz w:val="17"/>
          <w:szCs w:val="17"/>
          <w:lang w:val="es-AR"/>
        </w:rPr>
        <w:t xml:space="preserve"> los estudiantes a beneficiarse del programa. El DP y sus clases cuentan con el reconocimiento de más de 1500 universidades de todo el mundo, lo que brinda a los graduados del DP la oportunidad de obtener créditos universitarios y reducir la carga económica de la educación postsecundaria. El Programa relacionado con la carrera profesional (CP, en inglés) del IB ofrece a los estudiantes una combinación de estudios académicos y habilidades relacionadas con la carrera para aprender más y adquirir experiencia en un sector específico. Las clases principales del CP desarrollan habilidades de investigación e indagación para que los estudiantes de las industrias que elijan puedan pasar a una carrera profesional o a una educación postsecundaria.</w:t>
      </w:r>
    </w:p>
    <w:p w14:paraId="5BF3B633" w14:textId="77777777" w:rsidR="00191044" w:rsidRPr="000973F3" w:rsidRDefault="000B3471" w:rsidP="000E13B7">
      <w:pPr>
        <w:pStyle w:val="Heading2"/>
        <w:rPr>
          <w:sz w:val="17"/>
          <w:szCs w:val="17"/>
          <w:lang w:val="es-AR"/>
        </w:rPr>
      </w:pPr>
      <w:r w:rsidRPr="000973F3">
        <w:rPr>
          <w:bCs/>
          <w:sz w:val="17"/>
          <w:szCs w:val="17"/>
          <w:lang w:val="es-AR"/>
        </w:rPr>
        <w:t xml:space="preserve">Opciones de doble crédito basadas en clases: </w:t>
      </w:r>
    </w:p>
    <w:p w14:paraId="3FFC2F60" w14:textId="2270C9A0" w:rsidR="000936BE" w:rsidRPr="000973F3" w:rsidRDefault="000936BE" w:rsidP="005B5581">
      <w:pPr>
        <w:pStyle w:val="Heading3"/>
        <w:rPr>
          <w:sz w:val="17"/>
          <w:szCs w:val="17"/>
          <w:lang w:val="es-AR"/>
        </w:rPr>
      </w:pPr>
      <w:r w:rsidRPr="000973F3">
        <w:rPr>
          <w:bCs/>
          <w:sz w:val="17"/>
          <w:szCs w:val="17"/>
          <w:lang w:val="es-AR"/>
        </w:rPr>
        <w:t xml:space="preserve">Doble crédito de Educación Profesional y Técnica (CTE): </w:t>
      </w:r>
    </w:p>
    <w:p w14:paraId="65493BB5" w14:textId="4A00140F" w:rsidR="00191044" w:rsidRPr="000973F3" w:rsidRDefault="000936BE" w:rsidP="0019399C">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El doble crédito de CTE se ofrece a través de acuerdos entre escuelas secundarias y colegios técnicos/comunitarios. Estas clases pueden hacer que los estudiantes obtengan créditos tanto en la escuela secundaria como en la universidad si reciben una calificación que califique. </w:t>
      </w:r>
      <w:r w:rsidR="005C04AE" w:rsidRPr="000973F3">
        <w:rPr>
          <w:rFonts w:ascii="Segoe UI" w:hAnsi="Segoe UI" w:cs="Segoe UI"/>
          <w:sz w:val="17"/>
          <w:szCs w:val="17"/>
          <w:lang w:val="es-AR"/>
        </w:rPr>
        <w:br/>
      </w:r>
      <w:r w:rsidRPr="000973F3">
        <w:rPr>
          <w:rFonts w:ascii="Segoe UI" w:hAnsi="Segoe UI" w:cs="Segoe UI"/>
          <w:sz w:val="17"/>
          <w:szCs w:val="17"/>
          <w:lang w:val="es-AR"/>
        </w:rPr>
        <w:lastRenderedPageBreak/>
        <w:t>A diferencia de otros programas, el doble crédito de CTE no establece automáticamente un expediente académico universitario y los estudiantes pueden solicitar el crédito universitario después de completar la clase.</w:t>
      </w:r>
    </w:p>
    <w:p w14:paraId="35F41F57" w14:textId="2FA197CC" w:rsidR="000C1EE0" w:rsidRPr="000973F3" w:rsidRDefault="00732F70" w:rsidP="005B5581">
      <w:pPr>
        <w:pStyle w:val="Heading3"/>
        <w:rPr>
          <w:sz w:val="17"/>
          <w:szCs w:val="17"/>
        </w:rPr>
      </w:pPr>
      <w:r w:rsidRPr="000973F3">
        <w:rPr>
          <w:bCs/>
          <w:i/>
          <w:iCs/>
          <w:sz w:val="17"/>
          <w:szCs w:val="17"/>
        </w:rPr>
        <w:t xml:space="preserve">College in the High School </w:t>
      </w:r>
      <w:r w:rsidRPr="000973F3">
        <w:rPr>
          <w:bCs/>
          <w:sz w:val="17"/>
          <w:szCs w:val="17"/>
        </w:rPr>
        <w:t xml:space="preserve">(CiHS): </w:t>
      </w:r>
    </w:p>
    <w:p w14:paraId="06C99D12" w14:textId="435143B8" w:rsidR="00191044" w:rsidRPr="000973F3" w:rsidRDefault="00732F70" w:rsidP="0019399C">
      <w:pPr>
        <w:pStyle w:val="NoSpacing"/>
        <w:spacing w:after="200"/>
        <w:rPr>
          <w:rFonts w:ascii="Segoe UI" w:hAnsi="Segoe UI"/>
          <w:sz w:val="17"/>
          <w:szCs w:val="17"/>
          <w:lang w:val="es-AR"/>
        </w:rPr>
      </w:pPr>
      <w:r w:rsidRPr="000973F3">
        <w:rPr>
          <w:rFonts w:ascii="Segoe UI" w:hAnsi="Segoe UI"/>
          <w:sz w:val="17"/>
          <w:szCs w:val="17"/>
          <w:lang w:val="es-AR"/>
        </w:rPr>
        <w:t xml:space="preserve">College in the High School permite a los docentes de escuela secundaria aprobados por la universidad ofrecer clases de nivel universitario en la escuela secundaria. Los estudiantes pueden tomar estas clases para obtener créditos de escuela secundaria o universitaria. </w:t>
      </w:r>
      <w:r w:rsidR="005C04AE" w:rsidRPr="000973F3">
        <w:rPr>
          <w:rFonts w:ascii="Segoe UI" w:hAnsi="Segoe UI"/>
          <w:sz w:val="17"/>
          <w:szCs w:val="17"/>
          <w:lang w:val="es-AR"/>
        </w:rPr>
        <w:br/>
      </w:r>
      <w:r w:rsidRPr="000973F3">
        <w:rPr>
          <w:rFonts w:ascii="Segoe UI" w:hAnsi="Segoe UI"/>
          <w:sz w:val="17"/>
          <w:szCs w:val="17"/>
          <w:lang w:val="es-AR"/>
        </w:rPr>
        <w:t xml:space="preserve">Las calificaciones obtenidas para obtener créditos universitarios figurarán en el expediente universitario permanente del estudiante, independientemente del rendimiento del estudiante. </w:t>
      </w:r>
      <w:r w:rsidR="005C04AE" w:rsidRPr="000973F3">
        <w:rPr>
          <w:rFonts w:ascii="Segoe UI" w:hAnsi="Segoe UI"/>
          <w:sz w:val="17"/>
          <w:szCs w:val="17"/>
          <w:lang w:val="es-AR"/>
        </w:rPr>
        <w:br/>
      </w:r>
      <w:r w:rsidRPr="000973F3">
        <w:rPr>
          <w:rFonts w:ascii="Segoe UI" w:hAnsi="Segoe UI"/>
          <w:sz w:val="17"/>
          <w:szCs w:val="17"/>
          <w:lang w:val="es-AR"/>
        </w:rPr>
        <w:t xml:space="preserve">Si bien son altamente transferibles, los créditos universitarios obtenidos a través de </w:t>
      </w:r>
      <w:r w:rsidRPr="000973F3">
        <w:rPr>
          <w:rFonts w:ascii="Segoe UI" w:hAnsi="Segoe UI"/>
          <w:i/>
          <w:iCs/>
          <w:sz w:val="17"/>
          <w:szCs w:val="17"/>
          <w:lang w:val="es-AR"/>
        </w:rPr>
        <w:t xml:space="preserve">College in the High School </w:t>
      </w:r>
      <w:r w:rsidRPr="000973F3">
        <w:rPr>
          <w:rFonts w:ascii="Segoe UI" w:hAnsi="Segoe UI"/>
          <w:sz w:val="17"/>
          <w:szCs w:val="17"/>
          <w:lang w:val="es-AR"/>
        </w:rPr>
        <w:t xml:space="preserve">pueden considerarse créditos electivos si se transfieren a otro colegio o universidad. La </w:t>
      </w:r>
      <w:r w:rsidRPr="000973F3">
        <w:rPr>
          <w:rFonts w:ascii="Segoe UI" w:hAnsi="Segoe UI"/>
          <w:sz w:val="17"/>
          <w:szCs w:val="17"/>
          <w:u w:val="single"/>
          <w:lang w:val="es-AR"/>
        </w:rPr>
        <w:t xml:space="preserve">herramienta de equivalencias de cursos de </w:t>
      </w:r>
      <w:hyperlink r:id="rId12">
        <w:r w:rsidRPr="000973F3">
          <w:rPr>
            <w:rStyle w:val="Hyperlink"/>
            <w:rFonts w:ascii="Segoe UI" w:hAnsi="Segoe UI" w:cs="Segoe UI"/>
            <w:i/>
            <w:iCs/>
            <w:sz w:val="17"/>
            <w:szCs w:val="17"/>
            <w:u w:val="none"/>
            <w:lang w:val="es-AR"/>
          </w:rPr>
          <w:t xml:space="preserve">College in the High School </w:t>
        </w:r>
        <w:r w:rsidRPr="000973F3">
          <w:rPr>
            <w:rStyle w:val="Hyperlink"/>
            <w:rFonts w:ascii="Segoe UI" w:hAnsi="Segoe UI" w:cs="Segoe UI"/>
            <w:sz w:val="17"/>
            <w:szCs w:val="17"/>
            <w:u w:val="none"/>
            <w:lang w:val="es-AR"/>
          </w:rPr>
          <w:t>del Consejo de Presidentes</w:t>
        </w:r>
      </w:hyperlink>
      <w:r w:rsidRPr="000973F3">
        <w:rPr>
          <w:rFonts w:ascii="Segoe UI" w:hAnsi="Segoe UI"/>
          <w:sz w:val="17"/>
          <w:szCs w:val="17"/>
          <w:lang w:val="es-AR"/>
        </w:rPr>
        <w:t xml:space="preserve"> es un recurso útil para entender cómo los créditos universitarios obtenidos en las clases del </w:t>
      </w:r>
      <w:r w:rsidRPr="000973F3">
        <w:rPr>
          <w:rFonts w:ascii="Segoe UI" w:hAnsi="Segoe UI"/>
          <w:i/>
          <w:iCs/>
          <w:sz w:val="17"/>
          <w:szCs w:val="17"/>
          <w:lang w:val="es-AR"/>
        </w:rPr>
        <w:t>College in the High School</w:t>
      </w:r>
      <w:r w:rsidRPr="000973F3">
        <w:rPr>
          <w:rFonts w:ascii="Segoe UI" w:hAnsi="Segoe UI"/>
          <w:sz w:val="17"/>
          <w:szCs w:val="17"/>
          <w:lang w:val="es-AR"/>
        </w:rPr>
        <w:t xml:space="preserve"> pueden transferirse a las instituciones públicas de bachillerato de Washington.</w:t>
      </w:r>
      <w:r w:rsidRPr="000973F3">
        <w:rPr>
          <w:sz w:val="17"/>
          <w:szCs w:val="17"/>
          <w:lang w:val="es-AR"/>
        </w:rPr>
        <w:t xml:space="preserve"> </w:t>
      </w:r>
      <w:r w:rsidRPr="000973F3">
        <w:rPr>
          <w:rFonts w:ascii="Segoe UI" w:hAnsi="Segoe UI"/>
          <w:i/>
          <w:iCs/>
          <w:sz w:val="17"/>
          <w:szCs w:val="17"/>
          <w:lang w:val="es-AR"/>
        </w:rPr>
        <w:t xml:space="preserve">College in the High School </w:t>
      </w:r>
      <w:r w:rsidRPr="000973F3">
        <w:rPr>
          <w:rFonts w:ascii="Segoe UI" w:hAnsi="Segoe UI"/>
          <w:sz w:val="17"/>
          <w:szCs w:val="17"/>
          <w:lang w:val="es-AR"/>
        </w:rPr>
        <w:t>es gratuito para los estudiantes de escuelas públicas que participan a través de un colegio o universidad pública aprobado en el estado.</w:t>
      </w:r>
    </w:p>
    <w:p w14:paraId="4C3A7161" w14:textId="77777777" w:rsidR="005C04AE" w:rsidRPr="000973F3" w:rsidRDefault="005C04AE" w:rsidP="0019399C">
      <w:pPr>
        <w:pStyle w:val="NoSpacing"/>
        <w:spacing w:after="200"/>
        <w:rPr>
          <w:rFonts w:ascii="Segoe UI" w:hAnsi="Segoe UI" w:cs="Segoe UI"/>
          <w:sz w:val="17"/>
          <w:szCs w:val="17"/>
          <w:lang w:val="es-AR"/>
        </w:rPr>
      </w:pPr>
    </w:p>
    <w:p w14:paraId="6920F837" w14:textId="45847D59" w:rsidR="000C1EE0" w:rsidRPr="000973F3" w:rsidRDefault="00732F70" w:rsidP="005B5581">
      <w:pPr>
        <w:pStyle w:val="Heading3"/>
        <w:rPr>
          <w:sz w:val="17"/>
          <w:szCs w:val="17"/>
          <w:lang w:val="es-AR"/>
        </w:rPr>
      </w:pPr>
      <w:r w:rsidRPr="000973F3">
        <w:rPr>
          <w:bCs/>
          <w:i/>
          <w:iCs/>
          <w:sz w:val="17"/>
          <w:szCs w:val="17"/>
          <w:lang w:val="es-AR"/>
        </w:rPr>
        <w:t>Running Start</w:t>
      </w:r>
      <w:r w:rsidRPr="000973F3">
        <w:rPr>
          <w:bCs/>
          <w:sz w:val="17"/>
          <w:szCs w:val="17"/>
          <w:lang w:val="es-AR"/>
        </w:rPr>
        <w:t xml:space="preserve">: </w:t>
      </w:r>
    </w:p>
    <w:p w14:paraId="0A54CEBD" w14:textId="6FF21796" w:rsidR="00191044" w:rsidRPr="000973F3" w:rsidRDefault="00732F70" w:rsidP="005C04AE">
      <w:pPr>
        <w:pStyle w:val="NoSpacing"/>
        <w:spacing w:after="200"/>
        <w:ind w:right="-138"/>
        <w:rPr>
          <w:rFonts w:ascii="Segoe UI" w:hAnsi="Segoe UI" w:cs="Segoe UI"/>
          <w:b/>
          <w:bCs/>
          <w:sz w:val="17"/>
          <w:szCs w:val="17"/>
          <w:lang w:val="es-AR"/>
        </w:rPr>
      </w:pPr>
      <w:r w:rsidRPr="000973F3">
        <w:rPr>
          <w:rFonts w:ascii="Segoe UI" w:hAnsi="Segoe UI"/>
          <w:i/>
          <w:iCs/>
          <w:sz w:val="17"/>
          <w:szCs w:val="17"/>
          <w:lang w:val="es-AR"/>
        </w:rPr>
        <w:t xml:space="preserve">Running Start </w:t>
      </w:r>
      <w:r w:rsidRPr="000973F3">
        <w:rPr>
          <w:rFonts w:ascii="Segoe UI" w:hAnsi="Segoe UI"/>
          <w:sz w:val="17"/>
          <w:szCs w:val="17"/>
          <w:lang w:val="es-AR"/>
        </w:rPr>
        <w:t xml:space="preserve">es un programa gratuito para los estudiantes que cumplan los requisitos para cursar el undécimo o duodécimo grado, pero se cobran algunas tasas universitarias cada trimestre. Los estudiantes elegibles pueden inscribirse en cualquier período, incluido el verano, </w:t>
      </w:r>
      <w:r w:rsidR="005C04AE" w:rsidRPr="000973F3">
        <w:rPr>
          <w:rFonts w:ascii="Segoe UI" w:hAnsi="Segoe UI"/>
          <w:sz w:val="17"/>
          <w:szCs w:val="17"/>
          <w:lang w:val="es-AR"/>
        </w:rPr>
        <w:br/>
      </w:r>
      <w:r w:rsidRPr="000973F3">
        <w:rPr>
          <w:rFonts w:ascii="Segoe UI" w:hAnsi="Segoe UI"/>
          <w:sz w:val="17"/>
          <w:szCs w:val="17"/>
          <w:lang w:val="es-AR"/>
        </w:rPr>
        <w:t>al finalizar el décimo grado. Los estudiantes toman clases universitarias en una universidad elegible o en línea y obtienen créditos para la escuela secundaria y la universidad. Los estudiantes deben solicitar la admisión a una universidad comunitaria o técnica participante o a una universidad pública de cuatro años y notificar a la escuela o al distrito su intención de participar. Las calificaciones obtenidas se publicarán en el expediente académico permanente del estudiante. Todos los distritos deben permitir la participación de los estudiantes elegibles, y</w:t>
      </w:r>
      <w:r w:rsidRPr="000973F3">
        <w:rPr>
          <w:sz w:val="17"/>
          <w:szCs w:val="17"/>
          <w:lang w:val="es-AR"/>
        </w:rPr>
        <w:t xml:space="preserve"> </w:t>
      </w:r>
      <w:r w:rsidRPr="000973F3">
        <w:rPr>
          <w:rFonts w:ascii="Segoe UI" w:hAnsi="Segoe UI"/>
          <w:sz w:val="17"/>
          <w:szCs w:val="17"/>
          <w:lang w:val="es-AR"/>
        </w:rPr>
        <w:t xml:space="preserve">todos los colegios comunitarios y técnicos de Washington y los colegios y universidades públicas de cuatro años aceptan el crédito </w:t>
      </w:r>
      <w:r w:rsidRPr="000973F3">
        <w:rPr>
          <w:rFonts w:ascii="Segoe UI" w:hAnsi="Segoe UI"/>
          <w:i/>
          <w:iCs/>
          <w:sz w:val="17"/>
          <w:szCs w:val="17"/>
          <w:lang w:val="es-AR"/>
        </w:rPr>
        <w:t>Running Start</w:t>
      </w:r>
      <w:r w:rsidRPr="000973F3">
        <w:rPr>
          <w:rFonts w:ascii="Segoe UI" w:hAnsi="Segoe UI"/>
          <w:sz w:val="17"/>
          <w:szCs w:val="17"/>
          <w:lang w:val="es-AR"/>
        </w:rPr>
        <w:t xml:space="preserve">. Los créditos obtenidos a través de </w:t>
      </w:r>
      <w:r w:rsidRPr="000973F3">
        <w:rPr>
          <w:rFonts w:ascii="Segoe UI" w:hAnsi="Segoe UI"/>
          <w:i/>
          <w:iCs/>
          <w:sz w:val="17"/>
          <w:szCs w:val="17"/>
          <w:lang w:val="es-AR"/>
        </w:rPr>
        <w:t>Running Start</w:t>
      </w:r>
      <w:r w:rsidRPr="000973F3">
        <w:rPr>
          <w:rFonts w:ascii="Segoe UI" w:hAnsi="Segoe UI"/>
          <w:sz w:val="17"/>
          <w:szCs w:val="17"/>
          <w:lang w:val="es-AR"/>
        </w:rPr>
        <w:t xml:space="preserve"> también se pueden aplicar a los requisitos de título de asociado que dan lugar a la emisión universitaria de un diploma de escuela secundaria, como se describe en </w:t>
      </w:r>
      <w:hyperlink r:id="rId13" w:history="1">
        <w:r w:rsidRPr="000973F3">
          <w:rPr>
            <w:rStyle w:val="Hyperlink"/>
            <w:rFonts w:ascii="Segoe UI" w:hAnsi="Segoe UI" w:cs="Segoe UI"/>
            <w:sz w:val="17"/>
            <w:szCs w:val="17"/>
            <w:u w:val="none"/>
            <w:lang w:val="es-AR"/>
          </w:rPr>
          <w:t xml:space="preserve">el </w:t>
        </w:r>
        <w:r w:rsidRPr="000973F3">
          <w:rPr>
            <w:rStyle w:val="Hyperlink"/>
            <w:rFonts w:ascii="Segoe UI" w:hAnsi="Segoe UI" w:cs="Segoe UI"/>
            <w:sz w:val="17"/>
            <w:szCs w:val="17"/>
            <w:lang w:val="es-AR"/>
          </w:rPr>
          <w:t>Código Revisado de Washington</w:t>
        </w:r>
      </w:hyperlink>
      <w:r w:rsidR="005C04AE" w:rsidRPr="000973F3">
        <w:rPr>
          <w:rStyle w:val="Hyperlink"/>
          <w:rFonts w:ascii="Segoe UI" w:hAnsi="Segoe UI" w:cs="Segoe UI"/>
          <w:sz w:val="17"/>
          <w:szCs w:val="17"/>
          <w:lang w:val="es-AR"/>
        </w:rPr>
        <w:t xml:space="preserve"> </w:t>
      </w:r>
      <w:r w:rsidRPr="000973F3">
        <w:rPr>
          <w:rFonts w:ascii="Segoe UI" w:hAnsi="Segoe UI"/>
          <w:sz w:val="17"/>
          <w:szCs w:val="17"/>
          <w:u w:val="single"/>
          <w:lang w:val="es-AR"/>
        </w:rPr>
        <w:t>28B.50.535</w:t>
      </w:r>
      <w:r w:rsidRPr="000973F3">
        <w:rPr>
          <w:rFonts w:ascii="Segoe UI" w:hAnsi="Segoe UI"/>
          <w:sz w:val="17"/>
          <w:szCs w:val="17"/>
          <w:lang w:val="es-AR"/>
        </w:rPr>
        <w:t>.</w:t>
      </w:r>
    </w:p>
    <w:p w14:paraId="75010B40" w14:textId="7F9B77ED" w:rsidR="00C637CF" w:rsidRPr="000973F3" w:rsidRDefault="00732F70" w:rsidP="005B5581">
      <w:pPr>
        <w:pStyle w:val="Heading3"/>
        <w:rPr>
          <w:sz w:val="17"/>
          <w:szCs w:val="17"/>
          <w:lang w:val="es-AR"/>
        </w:rPr>
      </w:pPr>
      <w:r w:rsidRPr="000973F3">
        <w:rPr>
          <w:bCs/>
          <w:sz w:val="17"/>
          <w:szCs w:val="17"/>
          <w:lang w:val="es-AR"/>
        </w:rPr>
        <w:t xml:space="preserve">Reincorporación de los jóvenes de </w:t>
      </w:r>
      <w:r w:rsidRPr="000973F3">
        <w:rPr>
          <w:bCs/>
          <w:i/>
          <w:iCs/>
          <w:sz w:val="17"/>
          <w:szCs w:val="17"/>
          <w:lang w:val="es-AR"/>
        </w:rPr>
        <w:t>Open Doors</w:t>
      </w:r>
      <w:r w:rsidRPr="000973F3">
        <w:rPr>
          <w:bCs/>
          <w:sz w:val="17"/>
          <w:szCs w:val="17"/>
          <w:lang w:val="es-AR"/>
        </w:rPr>
        <w:t xml:space="preserve">: </w:t>
      </w:r>
    </w:p>
    <w:p w14:paraId="0E089072" w14:textId="0F775FD7" w:rsidR="008909F8" w:rsidRPr="000973F3" w:rsidRDefault="00732F70" w:rsidP="00EF7867">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Los programas </w:t>
      </w:r>
      <w:r w:rsidRPr="000973F3">
        <w:rPr>
          <w:rFonts w:ascii="Segoe UI" w:hAnsi="Segoe UI" w:cs="Segoe UI"/>
          <w:i/>
          <w:iCs/>
          <w:sz w:val="17"/>
          <w:szCs w:val="17"/>
          <w:lang w:val="es-AR"/>
        </w:rPr>
        <w:t>Open Doors</w:t>
      </w:r>
      <w:r w:rsidRPr="000973F3">
        <w:rPr>
          <w:rFonts w:ascii="Segoe UI" w:hAnsi="Segoe UI" w:cs="Segoe UI"/>
          <w:sz w:val="17"/>
          <w:szCs w:val="17"/>
          <w:lang w:val="es-AR"/>
        </w:rPr>
        <w:t xml:space="preserve"> brindan opciones educativas a los estudiantes de 16 a 21 años que no se espera que se gradúen antes de los 21 años. Ofrece opciones de recuperación de créditos, incluido el doble crédito, y asociaciones comunitarias para ayudar a los estudiantes a tener éxito y pasar a la educación postsecundaria.</w:t>
      </w:r>
      <w:r w:rsidRPr="000973F3">
        <w:rPr>
          <w:rFonts w:ascii="Segoe UI" w:hAnsi="Segoe UI" w:cs="Segoe UI"/>
          <w:sz w:val="17"/>
          <w:szCs w:val="17"/>
          <w:lang w:val="es-AR"/>
        </w:rPr>
        <w:br w:type="page"/>
      </w:r>
    </w:p>
    <w:p w14:paraId="7BB9AEAD" w14:textId="357FB94C" w:rsidR="00191044" w:rsidRPr="000973F3" w:rsidRDefault="00732F70" w:rsidP="00823715">
      <w:pPr>
        <w:pStyle w:val="Heading1"/>
        <w:rPr>
          <w:sz w:val="20"/>
          <w:szCs w:val="20"/>
          <w:lang w:val="es-AR"/>
        </w:rPr>
      </w:pPr>
      <w:r w:rsidRPr="000973F3">
        <w:rPr>
          <w:bCs/>
          <w:sz w:val="20"/>
          <w:szCs w:val="20"/>
          <w:lang w:val="es-AR"/>
        </w:rPr>
        <w:lastRenderedPageBreak/>
        <w:t xml:space="preserve">Consideraciones y recursos económicos para estudiantes </w:t>
      </w:r>
      <w:r w:rsidR="005C04AE" w:rsidRPr="000973F3">
        <w:rPr>
          <w:bCs/>
          <w:sz w:val="20"/>
          <w:szCs w:val="20"/>
          <w:lang w:val="es-AR"/>
        </w:rPr>
        <w:br/>
      </w:r>
      <w:r w:rsidRPr="000973F3">
        <w:rPr>
          <w:bCs/>
          <w:sz w:val="20"/>
          <w:szCs w:val="20"/>
          <w:lang w:val="es-AR"/>
        </w:rPr>
        <w:t>con doble crédito</w:t>
      </w:r>
    </w:p>
    <w:p w14:paraId="495615DA" w14:textId="77777777" w:rsidR="00191044" w:rsidRPr="000973F3" w:rsidRDefault="001A00FC" w:rsidP="00314D7A">
      <w:pPr>
        <w:pStyle w:val="NoSpacing"/>
        <w:spacing w:before="200" w:after="200"/>
        <w:rPr>
          <w:rFonts w:ascii="Segoe UI" w:hAnsi="Segoe UI" w:cs="Segoe UI"/>
          <w:b/>
          <w:bCs/>
          <w:sz w:val="17"/>
          <w:szCs w:val="17"/>
          <w:lang w:val="es-AR"/>
        </w:rPr>
      </w:pPr>
      <w:r w:rsidRPr="000973F3">
        <w:rPr>
          <w:rFonts w:ascii="Segoe UI" w:hAnsi="Segoe UI" w:cs="Segoe UI"/>
          <w:b/>
          <w:bCs/>
          <w:sz w:val="17"/>
          <w:szCs w:val="17"/>
          <w:highlight w:val="yellow"/>
        </w:rPr>
        <w:t xml:space="preserve">[Include which of the following programs are available through your school, program or district. </w:t>
      </w:r>
      <w:r w:rsidRPr="000973F3">
        <w:rPr>
          <w:rFonts w:ascii="Segoe UI" w:hAnsi="Segoe UI" w:cs="Segoe UI"/>
          <w:b/>
          <w:bCs/>
          <w:sz w:val="17"/>
          <w:szCs w:val="17"/>
          <w:highlight w:val="yellow"/>
          <w:u w:val="single"/>
          <w:lang w:val="es-AR"/>
        </w:rPr>
        <w:t>Remove this statement once content is adjusted</w:t>
      </w:r>
      <w:r w:rsidRPr="000973F3">
        <w:rPr>
          <w:rFonts w:ascii="Segoe UI" w:hAnsi="Segoe UI" w:cs="Segoe UI"/>
          <w:b/>
          <w:bCs/>
          <w:sz w:val="17"/>
          <w:szCs w:val="17"/>
          <w:highlight w:val="yellow"/>
          <w:lang w:val="es-AR"/>
        </w:rPr>
        <w:t>.]</w:t>
      </w:r>
    </w:p>
    <w:p w14:paraId="09E89362" w14:textId="77777777" w:rsidR="00191044" w:rsidRPr="000973F3" w:rsidRDefault="004B1296" w:rsidP="00C76A33">
      <w:pPr>
        <w:pStyle w:val="Heading2"/>
        <w:rPr>
          <w:sz w:val="17"/>
          <w:szCs w:val="17"/>
          <w:lang w:val="es-AR"/>
        </w:rPr>
      </w:pPr>
      <w:r w:rsidRPr="000973F3">
        <w:rPr>
          <w:bCs/>
          <w:sz w:val="17"/>
          <w:szCs w:val="17"/>
          <w:lang w:val="es-AR"/>
        </w:rPr>
        <w:t>Clases de doble crédito preparatorias para la universidad con exámenes</w:t>
      </w:r>
    </w:p>
    <w:p w14:paraId="32A37CCC" w14:textId="06912943" w:rsidR="004B1296" w:rsidRPr="000973F3" w:rsidRDefault="00732F70" w:rsidP="00C76A33">
      <w:pPr>
        <w:pStyle w:val="Heading3"/>
        <w:rPr>
          <w:sz w:val="17"/>
          <w:szCs w:val="17"/>
          <w:lang w:val="es-AR"/>
        </w:rPr>
      </w:pPr>
      <w:r w:rsidRPr="000973F3">
        <w:rPr>
          <w:bCs/>
          <w:i/>
          <w:iCs/>
          <w:sz w:val="17"/>
          <w:szCs w:val="17"/>
          <w:lang w:val="es-AR"/>
        </w:rPr>
        <w:t>Advanced Placement</w:t>
      </w:r>
      <w:r w:rsidRPr="000973F3">
        <w:rPr>
          <w:bCs/>
          <w:sz w:val="17"/>
          <w:szCs w:val="17"/>
          <w:lang w:val="es-AR"/>
        </w:rPr>
        <w:t xml:space="preserve">: </w:t>
      </w:r>
    </w:p>
    <w:p w14:paraId="2FF67A7F" w14:textId="77777777" w:rsidR="00191044" w:rsidRPr="000973F3" w:rsidRDefault="00732F70" w:rsidP="0030149D">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Existen tarifas para los exámenes de </w:t>
      </w:r>
      <w:r w:rsidRPr="000973F3">
        <w:rPr>
          <w:rFonts w:ascii="Segoe UI" w:hAnsi="Segoe UI" w:cs="Segoe UI"/>
          <w:i/>
          <w:iCs/>
          <w:sz w:val="17"/>
          <w:szCs w:val="17"/>
          <w:lang w:val="es-AR"/>
        </w:rPr>
        <w:t>Advanced Placement</w:t>
      </w:r>
      <w:r w:rsidRPr="000973F3">
        <w:rPr>
          <w:rFonts w:ascii="Segoe UI" w:hAnsi="Segoe UI" w:cs="Segoe UI"/>
          <w:sz w:val="17"/>
          <w:szCs w:val="17"/>
          <w:lang w:val="es-AR"/>
        </w:rPr>
        <w:t>, pero los estudiantes de familias de bajos ingresos que hayan sido verificados por el personal de la escuela pueden tomarlos de forma gratuita a través del programa de subsidio de tasas de examen de la OSPI.</w:t>
      </w:r>
    </w:p>
    <w:p w14:paraId="26E1FABB" w14:textId="3A6AD83D" w:rsidR="004B1296" w:rsidRPr="000973F3" w:rsidRDefault="00732F70" w:rsidP="009010F0">
      <w:pPr>
        <w:pStyle w:val="Heading3"/>
        <w:rPr>
          <w:sz w:val="17"/>
          <w:szCs w:val="17"/>
          <w:lang w:val="es-AR"/>
        </w:rPr>
      </w:pPr>
      <w:r w:rsidRPr="000973F3">
        <w:rPr>
          <w:bCs/>
          <w:i/>
          <w:iCs/>
          <w:sz w:val="17"/>
          <w:szCs w:val="17"/>
          <w:lang w:val="es-AR"/>
        </w:rPr>
        <w:t xml:space="preserve">Cambridge International </w:t>
      </w:r>
      <w:r w:rsidRPr="000973F3">
        <w:rPr>
          <w:bCs/>
          <w:sz w:val="17"/>
          <w:szCs w:val="17"/>
          <w:lang w:val="es-AR"/>
        </w:rPr>
        <w:t>o</w:t>
      </w:r>
      <w:r w:rsidRPr="000973F3">
        <w:rPr>
          <w:bCs/>
          <w:i/>
          <w:iCs/>
          <w:sz w:val="17"/>
          <w:szCs w:val="17"/>
          <w:lang w:val="es-AR"/>
        </w:rPr>
        <w:t xml:space="preserve"> International Baccalaureate </w:t>
      </w:r>
      <w:r w:rsidRPr="000973F3">
        <w:rPr>
          <w:bCs/>
          <w:sz w:val="17"/>
          <w:szCs w:val="17"/>
          <w:lang w:val="es-AR"/>
        </w:rPr>
        <w:t xml:space="preserve">(IB): </w:t>
      </w:r>
    </w:p>
    <w:p w14:paraId="55F60450" w14:textId="77777777" w:rsidR="00191044" w:rsidRPr="000973F3" w:rsidRDefault="00732F70" w:rsidP="0030149D">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Existen tarifas para los exámenes de Cambridge y del IB, pero se solicitan subsidios </w:t>
      </w:r>
      <w:r w:rsidRPr="000973F3">
        <w:rPr>
          <w:rFonts w:ascii="Segoe UI" w:hAnsi="Segoe UI" w:cs="Segoe UI"/>
          <w:b/>
          <w:bCs/>
          <w:sz w:val="17"/>
          <w:szCs w:val="17"/>
          <w:highlight w:val="yellow"/>
          <w:lang w:val="es-AR"/>
        </w:rPr>
        <w:t>[School District]</w:t>
      </w:r>
      <w:r w:rsidRPr="000973F3">
        <w:rPr>
          <w:rFonts w:ascii="Segoe UI" w:hAnsi="Segoe UI" w:cs="Segoe UI"/>
          <w:sz w:val="17"/>
          <w:szCs w:val="17"/>
          <w:lang w:val="es-AR"/>
        </w:rPr>
        <w:t xml:space="preserve"> para ayudar a los estudiantes de familias de bajos ingresos que han sido verificados por el personal de la escuela para presentarse a los exámenes sin costo o con un costo reducido.</w:t>
      </w:r>
    </w:p>
    <w:p w14:paraId="3FB71ED7" w14:textId="77777777" w:rsidR="00191044" w:rsidRPr="000973F3" w:rsidRDefault="000B3471" w:rsidP="005A650C">
      <w:pPr>
        <w:pStyle w:val="Heading2"/>
        <w:rPr>
          <w:sz w:val="17"/>
          <w:szCs w:val="17"/>
          <w:lang w:val="es-AR"/>
        </w:rPr>
      </w:pPr>
      <w:r w:rsidRPr="000973F3">
        <w:rPr>
          <w:bCs/>
          <w:sz w:val="17"/>
          <w:szCs w:val="17"/>
          <w:lang w:val="es-AR"/>
        </w:rPr>
        <w:t xml:space="preserve">Doble crédito basado en clases </w:t>
      </w:r>
    </w:p>
    <w:p w14:paraId="15EF368C" w14:textId="5A1055C4" w:rsidR="00674BEA" w:rsidRPr="000973F3" w:rsidRDefault="004B1296" w:rsidP="009010F0">
      <w:pPr>
        <w:pStyle w:val="Heading3"/>
        <w:rPr>
          <w:sz w:val="17"/>
          <w:szCs w:val="17"/>
          <w:lang w:val="es-AR"/>
        </w:rPr>
      </w:pPr>
      <w:r w:rsidRPr="000973F3">
        <w:rPr>
          <w:bCs/>
          <w:sz w:val="17"/>
          <w:szCs w:val="17"/>
          <w:lang w:val="es-AR"/>
        </w:rPr>
        <w:t xml:space="preserve">Doble crédito de Educación Profesional y Técnica (CTE): </w:t>
      </w:r>
    </w:p>
    <w:p w14:paraId="41A19783" w14:textId="77777777" w:rsidR="00191044" w:rsidRPr="000973F3" w:rsidRDefault="004B1296" w:rsidP="0030149D">
      <w:pPr>
        <w:pStyle w:val="NoSpacing"/>
        <w:spacing w:after="200"/>
        <w:rPr>
          <w:rFonts w:ascii="Segoe UI" w:hAnsi="Segoe UI" w:cs="Segoe UI"/>
          <w:sz w:val="17"/>
          <w:szCs w:val="17"/>
        </w:rPr>
      </w:pPr>
      <w:r w:rsidRPr="000973F3">
        <w:rPr>
          <w:rFonts w:ascii="Segoe UI" w:hAnsi="Segoe UI"/>
          <w:sz w:val="17"/>
          <w:szCs w:val="17"/>
          <w:lang w:val="es-AR"/>
        </w:rPr>
        <w:t>El doble crédito de CTE suele ser gratuito, pero algunos programas pueden requerir equipos y suministros especiales, y es posible que se cobre una pequeña tarifa por crear o actualizar el expediente académico universitario del estudiante.</w:t>
      </w:r>
      <w:r w:rsidRPr="000973F3">
        <w:rPr>
          <w:b/>
          <w:bCs/>
          <w:sz w:val="17"/>
          <w:szCs w:val="17"/>
          <w:lang w:val="es-AR"/>
        </w:rPr>
        <w:t xml:space="preserve"> </w:t>
      </w:r>
      <w:r w:rsidRPr="000973F3">
        <w:rPr>
          <w:rFonts w:ascii="Segoe UI" w:hAnsi="Segoe UI"/>
          <w:b/>
          <w:bCs/>
          <w:sz w:val="17"/>
          <w:szCs w:val="17"/>
          <w:highlight w:val="yellow"/>
        </w:rPr>
        <w:t>[Note if the school/district covers costs, has equipment/tool loan programs, or other agreements with colleges to minimize costs.]</w:t>
      </w:r>
      <w:r w:rsidRPr="000973F3">
        <w:rPr>
          <w:rFonts w:ascii="Segoe UI" w:hAnsi="Segoe UI"/>
          <w:sz w:val="17"/>
          <w:szCs w:val="17"/>
        </w:rPr>
        <w:t xml:space="preserve">  </w:t>
      </w:r>
    </w:p>
    <w:p w14:paraId="103C6966" w14:textId="6F26E163" w:rsidR="00674BEA" w:rsidRPr="000973F3" w:rsidRDefault="00732F70" w:rsidP="009010F0">
      <w:pPr>
        <w:pStyle w:val="Heading3"/>
        <w:rPr>
          <w:sz w:val="17"/>
          <w:szCs w:val="17"/>
        </w:rPr>
      </w:pPr>
      <w:r w:rsidRPr="000973F3">
        <w:rPr>
          <w:bCs/>
          <w:i/>
          <w:iCs/>
          <w:sz w:val="17"/>
          <w:szCs w:val="17"/>
        </w:rPr>
        <w:t xml:space="preserve">College in the High School </w:t>
      </w:r>
      <w:r w:rsidRPr="000973F3">
        <w:rPr>
          <w:bCs/>
          <w:sz w:val="17"/>
          <w:szCs w:val="17"/>
        </w:rPr>
        <w:t xml:space="preserve">(CiHS): </w:t>
      </w:r>
    </w:p>
    <w:p w14:paraId="4763B62A" w14:textId="77777777" w:rsidR="00191044" w:rsidRPr="000973F3" w:rsidRDefault="00A574A2" w:rsidP="0030149D">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Los estudiantes no tienen que pagar para tomar una clase del </w:t>
      </w:r>
      <w:r w:rsidRPr="000973F3">
        <w:rPr>
          <w:rFonts w:ascii="Segoe UI" w:hAnsi="Segoe UI" w:cs="Segoe UI"/>
          <w:i/>
          <w:iCs/>
          <w:sz w:val="17"/>
          <w:szCs w:val="17"/>
          <w:lang w:val="es-AR"/>
        </w:rPr>
        <w:t>College in the High School</w:t>
      </w:r>
      <w:r w:rsidRPr="000973F3">
        <w:rPr>
          <w:rFonts w:ascii="Segoe UI" w:hAnsi="Segoe UI" w:cs="Segoe UI"/>
          <w:sz w:val="17"/>
          <w:szCs w:val="17"/>
          <w:lang w:val="es-AR"/>
        </w:rPr>
        <w:t xml:space="preserve"> en colegios y universidades estatales aprobados y públicos. Las universidades privadas y de otros estados pueden cobrar una tarifa por sus clases de nivel universitario.</w:t>
      </w:r>
    </w:p>
    <w:p w14:paraId="79F8FFFA" w14:textId="6F3E62DD" w:rsidR="00674BEA" w:rsidRPr="000973F3" w:rsidRDefault="00732F70" w:rsidP="009010F0">
      <w:pPr>
        <w:pStyle w:val="Heading3"/>
        <w:rPr>
          <w:sz w:val="17"/>
          <w:szCs w:val="17"/>
          <w:lang w:val="es-AR"/>
        </w:rPr>
      </w:pPr>
      <w:r w:rsidRPr="000973F3">
        <w:rPr>
          <w:bCs/>
          <w:i/>
          <w:iCs/>
          <w:sz w:val="17"/>
          <w:szCs w:val="17"/>
          <w:lang w:val="es-AR"/>
        </w:rPr>
        <w:t>Running Start</w:t>
      </w:r>
      <w:r w:rsidRPr="000973F3">
        <w:rPr>
          <w:bCs/>
          <w:sz w:val="17"/>
          <w:szCs w:val="17"/>
          <w:lang w:val="es-AR"/>
        </w:rPr>
        <w:t xml:space="preserve">: </w:t>
      </w:r>
    </w:p>
    <w:p w14:paraId="3E10DD69" w14:textId="77777777" w:rsidR="00191044" w:rsidRPr="000973F3" w:rsidRDefault="00732F70" w:rsidP="005C04AE">
      <w:pPr>
        <w:pStyle w:val="NoSpacing"/>
        <w:spacing w:after="200"/>
        <w:ind w:right="-138"/>
        <w:rPr>
          <w:rFonts w:ascii="Segoe UI" w:hAnsi="Segoe UI" w:cs="Arial (Cuerpo en alfabeto compl"/>
          <w:b/>
          <w:bCs/>
          <w:spacing w:val="-4"/>
          <w:sz w:val="17"/>
          <w:szCs w:val="17"/>
        </w:rPr>
      </w:pPr>
      <w:r w:rsidRPr="000973F3">
        <w:rPr>
          <w:rFonts w:ascii="Segoe UI" w:hAnsi="Segoe UI" w:cs="Arial (Cuerpo en alfabeto compl"/>
          <w:spacing w:val="-4"/>
          <w:sz w:val="17"/>
          <w:szCs w:val="17"/>
          <w:lang w:val="es-AR"/>
        </w:rPr>
        <w:t xml:space="preserve">Los estudiantes de </w:t>
      </w:r>
      <w:r w:rsidRPr="000973F3">
        <w:rPr>
          <w:rFonts w:ascii="Segoe UI" w:hAnsi="Segoe UI" w:cs="Arial (Cuerpo en alfabeto compl"/>
          <w:i/>
          <w:iCs/>
          <w:spacing w:val="-4"/>
          <w:sz w:val="17"/>
          <w:szCs w:val="17"/>
          <w:lang w:val="es-AR"/>
        </w:rPr>
        <w:t>Running Start</w:t>
      </w:r>
      <w:r w:rsidRPr="000973F3">
        <w:rPr>
          <w:rFonts w:ascii="Segoe UI" w:hAnsi="Segoe UI" w:cs="Arial (Cuerpo en alfabeto compl"/>
          <w:spacing w:val="-4"/>
          <w:sz w:val="17"/>
          <w:szCs w:val="17"/>
          <w:lang w:val="es-AR"/>
        </w:rPr>
        <w:t xml:space="preserve"> no pagan la matrícula a menos que tomen más del número máximo de clases/créditos permitidos. Cada trimestre, los costos pueden incluir el transporte, los libros de texto y las tasas universitarias. Las universidades deben eximir de pagar cuotas a los estudiantes que se haya verificado que tienen bajos ingresos, y muchas brindan apoyo adicional, como programas de préstamos para libros y vales de transporte.</w:t>
      </w:r>
      <w:r w:rsidRPr="000973F3">
        <w:rPr>
          <w:rFonts w:cs="Arial (Cuerpo en alfabeto compl"/>
          <w:b/>
          <w:bCs/>
          <w:spacing w:val="-4"/>
          <w:sz w:val="17"/>
          <w:szCs w:val="17"/>
          <w:lang w:val="es-AR"/>
        </w:rPr>
        <w:t xml:space="preserve"> </w:t>
      </w:r>
      <w:r w:rsidRPr="000973F3">
        <w:rPr>
          <w:rFonts w:ascii="Segoe UI" w:hAnsi="Segoe UI" w:cs="Arial (Cuerpo en alfabeto compl"/>
          <w:b/>
          <w:bCs/>
          <w:spacing w:val="-4"/>
          <w:sz w:val="17"/>
          <w:szCs w:val="17"/>
          <w:highlight w:val="yellow"/>
        </w:rPr>
        <w:t>[Note if the school/district covers costs, has textbook loan programs, or other agreements with colleges to minimize costs.]</w:t>
      </w:r>
      <w:r w:rsidRPr="000973F3">
        <w:rPr>
          <w:rFonts w:ascii="Segoe UI" w:hAnsi="Segoe UI" w:cs="Arial (Cuerpo en alfabeto compl"/>
          <w:spacing w:val="-4"/>
          <w:sz w:val="17"/>
          <w:szCs w:val="17"/>
        </w:rPr>
        <w:t xml:space="preserve">  </w:t>
      </w:r>
    </w:p>
    <w:p w14:paraId="409E234F" w14:textId="77777777" w:rsidR="00191044" w:rsidRPr="000973F3" w:rsidRDefault="00A8505B" w:rsidP="00314D7A">
      <w:pPr>
        <w:pStyle w:val="NoSpacing"/>
        <w:spacing w:before="200" w:after="200"/>
        <w:rPr>
          <w:rFonts w:ascii="Segoe UI" w:hAnsi="Segoe UI" w:cs="Segoe UI"/>
          <w:b/>
          <w:bCs/>
          <w:sz w:val="17"/>
          <w:szCs w:val="17"/>
        </w:rPr>
      </w:pPr>
      <w:r w:rsidRPr="000973F3">
        <w:rPr>
          <w:rFonts w:ascii="Segoe UI" w:hAnsi="Segoe UI" w:cs="Segoe UI"/>
          <w:b/>
          <w:bCs/>
          <w:sz w:val="17"/>
          <w:szCs w:val="17"/>
          <w:highlight w:val="yellow"/>
        </w:rPr>
        <w:t xml:space="preserve">[If applicable, include which of the following financial assistance programs are available through your school, program, or district. Include any additional programs/resources as necessary. </w:t>
      </w:r>
      <w:r w:rsidRPr="000973F3">
        <w:rPr>
          <w:rFonts w:ascii="Segoe UI" w:hAnsi="Segoe UI" w:cs="Segoe UI"/>
          <w:b/>
          <w:bCs/>
          <w:sz w:val="17"/>
          <w:szCs w:val="17"/>
          <w:highlight w:val="yellow"/>
          <w:u w:val="single"/>
        </w:rPr>
        <w:t>Remove this statement once content is adjusted.</w:t>
      </w:r>
      <w:r w:rsidRPr="000973F3">
        <w:rPr>
          <w:rFonts w:ascii="Segoe UI" w:hAnsi="Segoe UI" w:cs="Segoe UI"/>
          <w:b/>
          <w:bCs/>
          <w:sz w:val="17"/>
          <w:szCs w:val="17"/>
          <w:highlight w:val="yellow"/>
        </w:rPr>
        <w:t>]</w:t>
      </w:r>
    </w:p>
    <w:p w14:paraId="37E357AA" w14:textId="77777777" w:rsidR="00191044" w:rsidRPr="000973F3" w:rsidRDefault="00732F70" w:rsidP="00314D7A">
      <w:pPr>
        <w:pStyle w:val="NoSpacing"/>
        <w:spacing w:before="200" w:after="200"/>
        <w:rPr>
          <w:rFonts w:ascii="Segoe UI" w:hAnsi="Segoe UI" w:cs="Segoe UI"/>
          <w:sz w:val="17"/>
          <w:szCs w:val="17"/>
          <w:lang w:val="es-AR"/>
        </w:rPr>
      </w:pPr>
      <w:r w:rsidRPr="000973F3">
        <w:rPr>
          <w:rFonts w:ascii="Segoe UI" w:hAnsi="Segoe UI" w:cs="Segoe UI"/>
          <w:sz w:val="17"/>
          <w:szCs w:val="17"/>
          <w:lang w:val="es-AR"/>
        </w:rPr>
        <w:t xml:space="preserve">Además de los subsidios y exenciones específicos del programa, </w:t>
      </w:r>
      <w:r w:rsidRPr="000973F3">
        <w:rPr>
          <w:rFonts w:ascii="Segoe UI" w:hAnsi="Segoe UI" w:cs="Segoe UI"/>
          <w:b/>
          <w:bCs/>
          <w:sz w:val="17"/>
          <w:szCs w:val="17"/>
          <w:highlight w:val="yellow"/>
          <w:lang w:val="es-AR"/>
        </w:rPr>
        <w:t>[School District]</w:t>
      </w:r>
      <w:r w:rsidRPr="000973F3">
        <w:rPr>
          <w:rFonts w:ascii="Segoe UI" w:hAnsi="Segoe UI" w:cs="Segoe UI"/>
          <w:sz w:val="17"/>
          <w:szCs w:val="17"/>
          <w:lang w:val="es-AR"/>
        </w:rPr>
        <w:t xml:space="preserve"> solicita fondos de diversas fuentes para apoyar a los estudiantes y a los programas de doble crédito. Estos incluyen:</w:t>
      </w:r>
    </w:p>
    <w:p w14:paraId="441FA24C" w14:textId="0DBD72A2" w:rsidR="001C59A1" w:rsidRPr="000973F3" w:rsidRDefault="00732F70" w:rsidP="009010F0">
      <w:pPr>
        <w:pStyle w:val="Heading3"/>
        <w:rPr>
          <w:sz w:val="17"/>
          <w:szCs w:val="17"/>
          <w:lang w:val="es-AR"/>
        </w:rPr>
      </w:pPr>
      <w:r w:rsidRPr="000973F3">
        <w:rPr>
          <w:bCs/>
          <w:sz w:val="17"/>
          <w:szCs w:val="17"/>
          <w:lang w:val="es-AR"/>
        </w:rPr>
        <w:t xml:space="preserve">Subvención consolidada de equidad y sostenibilidad (CES, en inglés) de la OSPI: </w:t>
      </w:r>
    </w:p>
    <w:p w14:paraId="4AA06F4E" w14:textId="64185615" w:rsidR="00191044" w:rsidRPr="000973F3" w:rsidRDefault="00732F70" w:rsidP="00353E72">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Esta subvención ayuda a las escuelas a ampliar las oportunidades de doble crédito y reducir </w:t>
      </w:r>
      <w:r w:rsidR="005C04AE" w:rsidRPr="000973F3">
        <w:rPr>
          <w:rFonts w:ascii="Segoe UI" w:hAnsi="Segoe UI" w:cs="Segoe UI"/>
          <w:sz w:val="17"/>
          <w:szCs w:val="17"/>
          <w:lang w:val="es-AR"/>
        </w:rPr>
        <w:br/>
      </w:r>
      <w:r w:rsidRPr="000973F3">
        <w:rPr>
          <w:rFonts w:ascii="Segoe UI" w:hAnsi="Segoe UI" w:cs="Segoe UI"/>
          <w:sz w:val="17"/>
          <w:szCs w:val="17"/>
          <w:lang w:val="es-AR"/>
        </w:rPr>
        <w:t>las brechas de equidad.</w:t>
      </w:r>
    </w:p>
    <w:p w14:paraId="1A4BDD8B" w14:textId="27A6F20C" w:rsidR="001C59A1" w:rsidRPr="000973F3" w:rsidRDefault="00732F70" w:rsidP="00EF23F5">
      <w:pPr>
        <w:pStyle w:val="Heading3"/>
        <w:rPr>
          <w:sz w:val="17"/>
          <w:szCs w:val="17"/>
          <w:lang w:val="es-AR"/>
        </w:rPr>
      </w:pPr>
      <w:hyperlink r:id="rId14" w:history="1">
        <w:r w:rsidRPr="000973F3">
          <w:rPr>
            <w:rStyle w:val="Hyperlink"/>
            <w:rFonts w:cs="Segoe UI"/>
            <w:bCs/>
            <w:sz w:val="17"/>
            <w:szCs w:val="17"/>
            <w:lang w:val="es-AR"/>
          </w:rPr>
          <w:t>Programa de becas de doble inscripción</w:t>
        </w:r>
      </w:hyperlink>
      <w:r w:rsidRPr="000973F3">
        <w:rPr>
          <w:bCs/>
          <w:sz w:val="17"/>
          <w:szCs w:val="17"/>
          <w:lang w:val="es-AR"/>
        </w:rPr>
        <w:t xml:space="preserve"> del Consejo de Rendimiento Estudiantil de Washington (WSAC, en inglés): </w:t>
      </w:r>
    </w:p>
    <w:p w14:paraId="72A8D5EA" w14:textId="77777777" w:rsidR="00191044" w:rsidRPr="000973F3" w:rsidRDefault="00732F70" w:rsidP="006A54F2">
      <w:pPr>
        <w:pStyle w:val="NoSpacing"/>
        <w:spacing w:after="200"/>
        <w:rPr>
          <w:rFonts w:ascii="Segoe UI" w:hAnsi="Segoe UI" w:cs="Segoe UI"/>
          <w:sz w:val="17"/>
          <w:szCs w:val="17"/>
          <w:lang w:val="es-AR"/>
        </w:rPr>
      </w:pPr>
      <w:r w:rsidRPr="000973F3">
        <w:rPr>
          <w:rFonts w:ascii="Segoe UI" w:hAnsi="Segoe UI" w:cs="Segoe UI"/>
          <w:sz w:val="17"/>
          <w:szCs w:val="17"/>
          <w:lang w:val="es-AR"/>
        </w:rPr>
        <w:t xml:space="preserve">Este programa ofrece apoyo financiero a los estudiantes de los programas de aprendizaje </w:t>
      </w:r>
      <w:r w:rsidRPr="000973F3">
        <w:rPr>
          <w:rFonts w:ascii="Segoe UI" w:hAnsi="Segoe UI" w:cs="Segoe UI"/>
          <w:i/>
          <w:iCs/>
          <w:sz w:val="17"/>
          <w:szCs w:val="17"/>
          <w:lang w:val="es-AR"/>
        </w:rPr>
        <w:t>Running Start</w:t>
      </w:r>
      <w:r w:rsidRPr="000973F3">
        <w:rPr>
          <w:rFonts w:ascii="Segoe UI" w:hAnsi="Segoe UI" w:cs="Segoe UI"/>
          <w:sz w:val="17"/>
          <w:szCs w:val="17"/>
          <w:lang w:val="es-AR"/>
        </w:rPr>
        <w:t xml:space="preserve"> y CTE.</w:t>
      </w:r>
    </w:p>
    <w:p w14:paraId="2549D672" w14:textId="07DADEFA" w:rsidR="00167C14" w:rsidRPr="000973F3" w:rsidRDefault="00167C14" w:rsidP="009010F0">
      <w:pPr>
        <w:pStyle w:val="Heading3"/>
        <w:rPr>
          <w:sz w:val="17"/>
          <w:szCs w:val="17"/>
          <w:lang w:val="es-AR"/>
        </w:rPr>
      </w:pPr>
      <w:r w:rsidRPr="000973F3">
        <w:rPr>
          <w:bCs/>
          <w:sz w:val="17"/>
          <w:szCs w:val="17"/>
          <w:lang w:val="es-AR"/>
        </w:rPr>
        <w:t>Cupón para la educación y capacitación (EVT, en inglés) del Departamento de Niños, Jóvenes y Familias (DCYF, en inglés):</w:t>
      </w:r>
    </w:p>
    <w:p w14:paraId="05133FC8" w14:textId="402EF275" w:rsidR="001D6443" w:rsidRPr="000973F3" w:rsidRDefault="00732F70" w:rsidP="00135FFF">
      <w:pPr>
        <w:pStyle w:val="NoSpacing"/>
        <w:spacing w:after="200"/>
        <w:rPr>
          <w:sz w:val="17"/>
          <w:szCs w:val="17"/>
          <w:lang w:val="es-AR"/>
        </w:rPr>
      </w:pPr>
      <w:r w:rsidRPr="000973F3">
        <w:rPr>
          <w:rFonts w:ascii="Segoe UI" w:hAnsi="Segoe UI" w:cs="Segoe UI"/>
          <w:sz w:val="17"/>
          <w:szCs w:val="17"/>
          <w:lang w:val="es-AR"/>
        </w:rPr>
        <w:t xml:space="preserve">Los estudiantes que estén bajo el cuidado o que se estén retirando del DCYF pueden solicitar </w:t>
      </w:r>
      <w:r w:rsidR="005C04AE" w:rsidRPr="000973F3">
        <w:rPr>
          <w:rFonts w:ascii="Segoe UI" w:hAnsi="Segoe UI" w:cs="Segoe UI"/>
          <w:sz w:val="17"/>
          <w:szCs w:val="17"/>
          <w:lang w:val="es-AR"/>
        </w:rPr>
        <w:br/>
      </w:r>
      <w:r w:rsidRPr="000973F3">
        <w:rPr>
          <w:rFonts w:ascii="Segoe UI" w:hAnsi="Segoe UI" w:cs="Segoe UI"/>
          <w:sz w:val="17"/>
          <w:szCs w:val="17"/>
          <w:lang w:val="es-AR"/>
        </w:rPr>
        <w:t xml:space="preserve">el </w:t>
      </w:r>
      <w:r w:rsidRPr="000973F3">
        <w:rPr>
          <w:rFonts w:ascii="Segoe UI" w:hAnsi="Segoe UI" w:cs="Segoe UI"/>
          <w:sz w:val="17"/>
          <w:szCs w:val="17"/>
          <w:u w:val="single"/>
          <w:lang w:val="es-AR"/>
        </w:rPr>
        <w:t xml:space="preserve">programa </w:t>
      </w:r>
      <w:hyperlink r:id="rId15" w:history="1">
        <w:r w:rsidRPr="000973F3">
          <w:rPr>
            <w:rStyle w:val="Hyperlink"/>
            <w:rFonts w:ascii="Segoe UI" w:hAnsi="Segoe UI" w:cs="Segoe UI"/>
            <w:sz w:val="17"/>
            <w:szCs w:val="17"/>
            <w:lang w:val="es-AR"/>
          </w:rPr>
          <w:t>ETV</w:t>
        </w:r>
      </w:hyperlink>
      <w:r w:rsidRPr="000973F3">
        <w:rPr>
          <w:rFonts w:ascii="Segoe UI" w:hAnsi="Segoe UI" w:cs="Segoe UI"/>
          <w:sz w:val="17"/>
          <w:szCs w:val="17"/>
          <w:lang w:val="es-AR"/>
        </w:rPr>
        <w:t xml:space="preserve"> y recibir hasta $2,000 al año para cubrir los costos del doble crédito. </w:t>
      </w:r>
      <w:r w:rsidR="005C04AE" w:rsidRPr="000973F3">
        <w:rPr>
          <w:rFonts w:ascii="Segoe UI" w:hAnsi="Segoe UI" w:cs="Segoe UI"/>
          <w:sz w:val="17"/>
          <w:szCs w:val="17"/>
          <w:lang w:val="es-AR"/>
        </w:rPr>
        <w:br/>
      </w:r>
      <w:r w:rsidRPr="000973F3">
        <w:rPr>
          <w:rFonts w:ascii="Segoe UI" w:hAnsi="Segoe UI" w:cs="Segoe UI"/>
          <w:sz w:val="17"/>
          <w:szCs w:val="17"/>
          <w:lang w:val="es-AR"/>
        </w:rPr>
        <w:t>Los estudiantes deben cursar al menos seis créditos universitarios y una clase universitaria de 100 niveles cada trimestre.</w:t>
      </w:r>
    </w:p>
    <w:sectPr w:rsidR="001D6443" w:rsidRPr="000973F3"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D4790" w14:textId="77777777" w:rsidR="00692A29" w:rsidRDefault="00692A29" w:rsidP="00342839">
      <w:pPr>
        <w:spacing w:after="0" w:line="240" w:lineRule="auto"/>
      </w:pPr>
      <w:r>
        <w:separator/>
      </w:r>
    </w:p>
  </w:endnote>
  <w:endnote w:type="continuationSeparator" w:id="0">
    <w:p w14:paraId="1150693F" w14:textId="77777777" w:rsidR="00692A29" w:rsidRDefault="00692A29" w:rsidP="00342839">
      <w:pPr>
        <w:spacing w:after="0" w:line="240" w:lineRule="auto"/>
      </w:pPr>
      <w:r>
        <w:continuationSeparator/>
      </w:r>
    </w:p>
  </w:endnote>
  <w:endnote w:type="continuationNotice" w:id="1">
    <w:p w14:paraId="086D233A" w14:textId="77777777" w:rsidR="00692A29" w:rsidRDefault="00692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Cuerpo en alfabeto compl">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29C7" w14:textId="77777777" w:rsidR="00692A29" w:rsidRDefault="00692A29" w:rsidP="00342839">
      <w:pPr>
        <w:spacing w:after="0" w:line="240" w:lineRule="auto"/>
      </w:pPr>
      <w:r>
        <w:separator/>
      </w:r>
    </w:p>
  </w:footnote>
  <w:footnote w:type="continuationSeparator" w:id="0">
    <w:p w14:paraId="7198A46A" w14:textId="77777777" w:rsidR="00692A29" w:rsidRDefault="00692A29" w:rsidP="00342839">
      <w:pPr>
        <w:spacing w:after="0" w:line="240" w:lineRule="auto"/>
      </w:pPr>
      <w:r>
        <w:continuationSeparator/>
      </w:r>
    </w:p>
  </w:footnote>
  <w:footnote w:type="continuationNotice" w:id="1">
    <w:p w14:paraId="7A5E8A09" w14:textId="77777777" w:rsidR="00692A29" w:rsidRDefault="00692A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491764">
    <w:abstractNumId w:val="0"/>
  </w:num>
  <w:num w:numId="2" w16cid:durableId="607541586">
    <w:abstractNumId w:val="1"/>
  </w:num>
  <w:num w:numId="3" w16cid:durableId="199583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70"/>
    <w:rsid w:val="000000C6"/>
    <w:rsid w:val="000009AD"/>
    <w:rsid w:val="00000B3F"/>
    <w:rsid w:val="00003DEA"/>
    <w:rsid w:val="00013BC0"/>
    <w:rsid w:val="00017283"/>
    <w:rsid w:val="0002256E"/>
    <w:rsid w:val="000243EA"/>
    <w:rsid w:val="00037BD3"/>
    <w:rsid w:val="00055314"/>
    <w:rsid w:val="00075AE2"/>
    <w:rsid w:val="00076CF4"/>
    <w:rsid w:val="00080424"/>
    <w:rsid w:val="000907E7"/>
    <w:rsid w:val="000936BE"/>
    <w:rsid w:val="00097387"/>
    <w:rsid w:val="000973F3"/>
    <w:rsid w:val="00097954"/>
    <w:rsid w:val="000B3471"/>
    <w:rsid w:val="000B5A87"/>
    <w:rsid w:val="000B6685"/>
    <w:rsid w:val="000C0161"/>
    <w:rsid w:val="000C1EE0"/>
    <w:rsid w:val="000C6FFE"/>
    <w:rsid w:val="000D1FDB"/>
    <w:rsid w:val="000D7E91"/>
    <w:rsid w:val="000E0D66"/>
    <w:rsid w:val="000E1251"/>
    <w:rsid w:val="000E13B7"/>
    <w:rsid w:val="001011A1"/>
    <w:rsid w:val="001055E7"/>
    <w:rsid w:val="00112EF4"/>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80"/>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194E"/>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B1296"/>
    <w:rsid w:val="004B58BF"/>
    <w:rsid w:val="004C6B5E"/>
    <w:rsid w:val="004D0B76"/>
    <w:rsid w:val="004D590D"/>
    <w:rsid w:val="005009E2"/>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271E"/>
    <w:rsid w:val="005930A1"/>
    <w:rsid w:val="005936AD"/>
    <w:rsid w:val="005966B3"/>
    <w:rsid w:val="005A4575"/>
    <w:rsid w:val="005A4BA7"/>
    <w:rsid w:val="005A650C"/>
    <w:rsid w:val="005A7B8C"/>
    <w:rsid w:val="005B15D9"/>
    <w:rsid w:val="005B15EE"/>
    <w:rsid w:val="005B5581"/>
    <w:rsid w:val="005C04AE"/>
    <w:rsid w:val="005C1E12"/>
    <w:rsid w:val="005D18B3"/>
    <w:rsid w:val="005D1EE1"/>
    <w:rsid w:val="005D29F2"/>
    <w:rsid w:val="005D3460"/>
    <w:rsid w:val="005D4CEF"/>
    <w:rsid w:val="005F340A"/>
    <w:rsid w:val="005F3A79"/>
    <w:rsid w:val="00602212"/>
    <w:rsid w:val="006108E0"/>
    <w:rsid w:val="00617270"/>
    <w:rsid w:val="00642A97"/>
    <w:rsid w:val="00651EF0"/>
    <w:rsid w:val="00657D9F"/>
    <w:rsid w:val="0066439C"/>
    <w:rsid w:val="006674DC"/>
    <w:rsid w:val="00674BEA"/>
    <w:rsid w:val="00684B40"/>
    <w:rsid w:val="006856AE"/>
    <w:rsid w:val="00687304"/>
    <w:rsid w:val="00687E28"/>
    <w:rsid w:val="00690014"/>
    <w:rsid w:val="00691EE9"/>
    <w:rsid w:val="00692A2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6BD0"/>
    <w:rsid w:val="007407AC"/>
    <w:rsid w:val="00760F82"/>
    <w:rsid w:val="0076717C"/>
    <w:rsid w:val="007877C3"/>
    <w:rsid w:val="00791B8E"/>
    <w:rsid w:val="007A09AB"/>
    <w:rsid w:val="007A33B9"/>
    <w:rsid w:val="007B2899"/>
    <w:rsid w:val="007B4160"/>
    <w:rsid w:val="007B4C56"/>
    <w:rsid w:val="007C0D04"/>
    <w:rsid w:val="007E1244"/>
    <w:rsid w:val="007E1F35"/>
    <w:rsid w:val="007E396B"/>
    <w:rsid w:val="007E5222"/>
    <w:rsid w:val="007F5EBE"/>
    <w:rsid w:val="00800912"/>
    <w:rsid w:val="008017D6"/>
    <w:rsid w:val="008026CF"/>
    <w:rsid w:val="00804B38"/>
    <w:rsid w:val="0080655A"/>
    <w:rsid w:val="00823715"/>
    <w:rsid w:val="0082479E"/>
    <w:rsid w:val="0082592D"/>
    <w:rsid w:val="008265F0"/>
    <w:rsid w:val="00830687"/>
    <w:rsid w:val="00832EC4"/>
    <w:rsid w:val="00840431"/>
    <w:rsid w:val="00843FCD"/>
    <w:rsid w:val="0084731D"/>
    <w:rsid w:val="008657F3"/>
    <w:rsid w:val="00887DE7"/>
    <w:rsid w:val="008909F8"/>
    <w:rsid w:val="0089646D"/>
    <w:rsid w:val="008972DA"/>
    <w:rsid w:val="008A4509"/>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774FE"/>
    <w:rsid w:val="00985520"/>
    <w:rsid w:val="00992BAB"/>
    <w:rsid w:val="009A6F63"/>
    <w:rsid w:val="009B3801"/>
    <w:rsid w:val="009B52A4"/>
    <w:rsid w:val="009B5C16"/>
    <w:rsid w:val="009C5540"/>
    <w:rsid w:val="009E2181"/>
    <w:rsid w:val="009E4518"/>
    <w:rsid w:val="009F3288"/>
    <w:rsid w:val="00A27399"/>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C99"/>
    <w:rsid w:val="00B37E0F"/>
    <w:rsid w:val="00B52AA8"/>
    <w:rsid w:val="00B5459E"/>
    <w:rsid w:val="00B57BD5"/>
    <w:rsid w:val="00B637BA"/>
    <w:rsid w:val="00B6403F"/>
    <w:rsid w:val="00B65761"/>
    <w:rsid w:val="00B726F3"/>
    <w:rsid w:val="00B84A09"/>
    <w:rsid w:val="00B87C60"/>
    <w:rsid w:val="00B93867"/>
    <w:rsid w:val="00B96E12"/>
    <w:rsid w:val="00BA521A"/>
    <w:rsid w:val="00BA5897"/>
    <w:rsid w:val="00BB040F"/>
    <w:rsid w:val="00BC0598"/>
    <w:rsid w:val="00BC269C"/>
    <w:rsid w:val="00BC2A93"/>
    <w:rsid w:val="00BC5C1E"/>
    <w:rsid w:val="00BC78DB"/>
    <w:rsid w:val="00BE371E"/>
    <w:rsid w:val="00BF1ACA"/>
    <w:rsid w:val="00BF36E6"/>
    <w:rsid w:val="00C10171"/>
    <w:rsid w:val="00C23C7C"/>
    <w:rsid w:val="00C30FBF"/>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7349"/>
    <w:rsid w:val="00D233DE"/>
    <w:rsid w:val="00D241D3"/>
    <w:rsid w:val="00D260F4"/>
    <w:rsid w:val="00D27FE5"/>
    <w:rsid w:val="00D434BD"/>
    <w:rsid w:val="00D4599F"/>
    <w:rsid w:val="00D5254B"/>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customStyle="1" w:styleId="UnresolvedMention1">
    <w:name w:val="Unresolved Mention1"/>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28B.50.5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CmRZkfai2cw0ZmUHoquZjBywxandDV28/edit?usp=sharing&amp;ouid=115520424788968423195&amp;rtpof=true&amp;sd=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bridgeinternational.org/usa/." TargetMode="External"/><Relationship Id="rId5" Type="http://schemas.openxmlformats.org/officeDocument/2006/relationships/styles" Target="styles.xml"/><Relationship Id="rId15" Type="http://schemas.openxmlformats.org/officeDocument/2006/relationships/hyperlink" Target="https://www.dcyf.wa.gov/services/foster-youth/etv" TargetMode="Externa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credit-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Props1.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2.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F007E-7E04-4E9A-BBEF-FF9F38EAAA22}">
  <ds:schemaRefs>
    <ds:schemaRef ds:uri="http://schemas.microsoft.com/office/2006/documentManagement/types"/>
    <ds:schemaRef ds:uri="http://www.w3.org/XML/1998/namespace"/>
    <ds:schemaRef ds:uri="7923a052-dad2-4823-ade6-97ec546a8bc9"/>
    <ds:schemaRef ds:uri="http://purl.org/dc/dcmitype/"/>
    <ds:schemaRef ds:uri="http://purl.org/dc/terms/"/>
    <ds:schemaRef ds:uri="http://purl.org/dc/elements/1.1/"/>
    <ds:schemaRef ds:uri="33d416a5-0fd3-4733-a936-b8b1200aae92"/>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Dual Credit Notification Letter Template</vt:lpstr>
    </vt:vector>
  </TitlesOfParts>
  <Company>OSPI</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Spanish</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dc:description/>
  <cp:lastModifiedBy>Sara Foppiano</cp:lastModifiedBy>
  <cp:revision>2</cp:revision>
  <cp:lastPrinted>2024-12-12T17:24:00Z</cp:lastPrinted>
  <dcterms:created xsi:type="dcterms:W3CDTF">2025-08-22T23:32:00Z</dcterms:created>
  <dcterms:modified xsi:type="dcterms:W3CDTF">2025-08-22T23:32:00Z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