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43ABBFB8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</w:t>
    </w:r>
    <w:r w:rsidR="008243BB">
      <w:rPr>
        <w:rFonts w:ascii="Segoe UI" w:hAnsi="Segoe UI" w:cs="Segoe UI"/>
        <w:bCs/>
        <w:sz w:val="20"/>
      </w:rPr>
      <w:t>QQ</w:t>
    </w:r>
    <w:r w:rsidRPr="00E325D0">
      <w:rPr>
        <w:rFonts w:ascii="Segoe UI" w:hAnsi="Segoe UI" w:cs="Segoe UI"/>
        <w:bCs/>
        <w:sz w:val="20"/>
      </w:rPr>
      <w:t xml:space="preserve"> No. </w:t>
    </w:r>
    <w:r w:rsidR="008243BB">
      <w:rPr>
        <w:rFonts w:ascii="Segoe UI" w:hAnsi="Segoe UI" w:cs="Segoe UI"/>
        <w:bCs/>
        <w:sz w:val="20"/>
      </w:rPr>
      <w:t>2026-11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249BE9B5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8243BB">
      <w:rPr>
        <w:rFonts w:ascii="Segoe UI" w:hAnsi="Segoe UI" w:cs="Segoe UI"/>
        <w:sz w:val="28"/>
      </w:rPr>
      <w:t>H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114B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43BB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1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17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18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8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2608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3047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2025-11-17T23:49:00Z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