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A1D4D" w14:textId="03C270CB" w:rsidR="00C640C4" w:rsidRPr="00241BC1" w:rsidRDefault="00522EB8" w:rsidP="00C640C4">
      <w:pPr>
        <w:pStyle w:val="Heading1"/>
      </w:pPr>
      <w:bookmarkStart w:id="0" w:name="_Toc253408728"/>
      <w:bookmarkStart w:id="1" w:name="_Toc209102288"/>
      <w:r w:rsidRPr="00241BC1">
        <w:t xml:space="preserve">Note </w:t>
      </w:r>
      <w:r w:rsidR="00CF368F" w:rsidRPr="00241BC1">
        <w:t>X</w:t>
      </w:r>
      <w:r w:rsidRPr="00241BC1">
        <w:t xml:space="preserve">: </w:t>
      </w:r>
      <w:r w:rsidR="00CF368F" w:rsidRPr="00241BC1">
        <w:t>PENSION PLANS</w:t>
      </w:r>
      <w:bookmarkEnd w:id="0"/>
      <w:bookmarkEnd w:id="1"/>
    </w:p>
    <w:p w14:paraId="5222D31C" w14:textId="77777777" w:rsidR="00C640C4" w:rsidRPr="00451E3F" w:rsidRDefault="00C640C4" w:rsidP="00C640C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szCs w:val="16"/>
        </w:rPr>
      </w:pPr>
    </w:p>
    <w:p w14:paraId="1D09C598" w14:textId="6B815CAC" w:rsidR="00C640C4" w:rsidRPr="00241BC1" w:rsidRDefault="00C640C4" w:rsidP="00A45E12">
      <w:pPr>
        <w:pStyle w:val="Heading2"/>
      </w:pPr>
      <w:bookmarkStart w:id="2" w:name="_Hlk55376809"/>
      <w:bookmarkStart w:id="3" w:name="_Hlk87883334"/>
      <w:r w:rsidRPr="00241BC1">
        <w:t>General Information</w:t>
      </w:r>
    </w:p>
    <w:p w14:paraId="1AEE2BB1" w14:textId="77777777" w:rsidR="00C640C4" w:rsidRPr="00241BC1" w:rsidRDefault="00C640C4" w:rsidP="00C640C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3243A6FA" w14:textId="75465E2D" w:rsidR="00813D88" w:rsidRPr="001D0F35" w:rsidRDefault="00813D88" w:rsidP="00813D88">
      <w:pPr>
        <w:rPr>
          <w:rFonts w:cs="Segoe UI"/>
          <w:szCs w:val="22"/>
        </w:rPr>
      </w:pPr>
      <w:bookmarkStart w:id="4" w:name="_Hlk55313490"/>
      <w:r w:rsidRPr="001D0F35">
        <w:rPr>
          <w:rFonts w:cs="Segoe UI"/>
          <w:szCs w:val="22"/>
        </w:rPr>
        <w:t xml:space="preserve">The Washington State Department of Retirement Systems (DRS), a department within the primary government of the state of Washington, prepares a stand-alone </w:t>
      </w:r>
      <w:r w:rsidR="008D4C2E">
        <w:rPr>
          <w:rFonts w:cs="Segoe UI"/>
          <w:szCs w:val="22"/>
        </w:rPr>
        <w:t xml:space="preserve">annual </w:t>
      </w:r>
      <w:r w:rsidRPr="001D0F35">
        <w:rPr>
          <w:rFonts w:cs="Segoe UI"/>
          <w:szCs w:val="22"/>
        </w:rPr>
        <w:t xml:space="preserve">comprehensive financial report that includes financial statements and required supplementary information for each pension plan. The pension plan’s basic financial statement is accounted for using the accrual basis of accounting. </w:t>
      </w:r>
      <w:r w:rsidRPr="001D0F35">
        <w:rPr>
          <w:rFonts w:cs="Segoe UI"/>
        </w:rPr>
        <w:t>The measurement date of the pension plans is June 30. Benefit payments (including refunds of employee contributions) are recognized when due and payable in accordance with the benefit terms.</w:t>
      </w:r>
      <w:r w:rsidRPr="001D0F35">
        <w:rPr>
          <w:rFonts w:cs="Segoe UI"/>
          <w:szCs w:val="22"/>
        </w:rPr>
        <w:t xml:space="preserve"> Investments are reported </w:t>
      </w:r>
      <w:proofErr w:type="gramStart"/>
      <w:r w:rsidRPr="001D0F35">
        <w:rPr>
          <w:rFonts w:cs="Segoe UI"/>
          <w:szCs w:val="22"/>
        </w:rPr>
        <w:t>at</w:t>
      </w:r>
      <w:proofErr w:type="gramEnd"/>
      <w:r w:rsidRPr="001D0F35">
        <w:rPr>
          <w:rFonts w:cs="Segoe UI"/>
          <w:szCs w:val="22"/>
        </w:rPr>
        <w:t xml:space="preserve"> fair value. </w:t>
      </w:r>
    </w:p>
    <w:p w14:paraId="686980C3" w14:textId="77777777" w:rsidR="00813D88" w:rsidRPr="001D0F35" w:rsidRDefault="00813D88" w:rsidP="00813D88">
      <w:pPr>
        <w:rPr>
          <w:rFonts w:cs="Segoe UI"/>
          <w:szCs w:val="22"/>
        </w:rPr>
      </w:pPr>
    </w:p>
    <w:p w14:paraId="327D9EAB" w14:textId="77777777" w:rsidR="00813D88" w:rsidRDefault="00813D88" w:rsidP="00813D88">
      <w:pPr>
        <w:rPr>
          <w:rFonts w:cs="Segoe UI"/>
          <w:szCs w:val="22"/>
        </w:rPr>
      </w:pPr>
      <w:r w:rsidRPr="001D0F35">
        <w:rPr>
          <w:rFonts w:cs="Segoe UI"/>
          <w:szCs w:val="22"/>
        </w:rPr>
        <w:t xml:space="preserve">The school district is reporting the net pension liability in the notes and on the Schedule of Long-term Liabilities calculated as the district’s proportionate allocation percentage multiplied by the total plan collective net pension liability. </w:t>
      </w:r>
      <w:r w:rsidRPr="004E3A4F">
        <w:rPr>
          <w:rFonts w:cs="Segoe UI"/>
          <w:szCs w:val="22"/>
        </w:rPr>
        <w:t xml:space="preserve">The </w:t>
      </w:r>
      <w:r>
        <w:rPr>
          <w:rFonts w:cs="Segoe UI"/>
          <w:szCs w:val="22"/>
        </w:rPr>
        <w:t xml:space="preserve">DRS total </w:t>
      </w:r>
      <w:r w:rsidRPr="004E3A4F">
        <w:rPr>
          <w:rFonts w:cs="Segoe UI"/>
          <w:szCs w:val="22"/>
        </w:rPr>
        <w:t xml:space="preserve">collective net pension liabilities for the pension plans </w:t>
      </w:r>
      <w:r>
        <w:rPr>
          <w:rFonts w:cs="Segoe UI"/>
          <w:szCs w:val="22"/>
        </w:rPr>
        <w:t xml:space="preserve">school districts </w:t>
      </w:r>
      <w:r w:rsidRPr="004E3A4F">
        <w:rPr>
          <w:rFonts w:cs="Segoe UI"/>
          <w:szCs w:val="22"/>
        </w:rPr>
        <w:t xml:space="preserve">participate in are </w:t>
      </w:r>
      <w:r>
        <w:rPr>
          <w:rFonts w:cs="Segoe UI"/>
          <w:szCs w:val="22"/>
        </w:rPr>
        <w:t xml:space="preserve">shown here. </w:t>
      </w:r>
    </w:p>
    <w:p w14:paraId="183CDA32" w14:textId="77777777" w:rsidR="00813D88" w:rsidRDefault="00813D88" w:rsidP="00813D88">
      <w:pPr>
        <w:rPr>
          <w:rFonts w:cs="Segoe UI"/>
          <w:szCs w:val="22"/>
        </w:rPr>
      </w:pPr>
    </w:p>
    <w:p w14:paraId="0612AE8C" w14:textId="07E31559" w:rsidR="00B33A0D" w:rsidRDefault="00B33A0D" w:rsidP="00B33A0D">
      <w:pPr>
        <w:rPr>
          <w:rFonts w:ascii="Arial" w:hAnsi="Arial" w:cs="Arial"/>
          <w:b/>
          <w:sz w:val="24"/>
          <w:szCs w:val="22"/>
        </w:rPr>
      </w:pPr>
      <w:r>
        <w:rPr>
          <w:rFonts w:cs="Arial"/>
          <w:b/>
          <w:sz w:val="24"/>
          <w:szCs w:val="22"/>
        </w:rPr>
        <w:t>The Collective Net Pension Liability</w:t>
      </w:r>
      <w:r w:rsidR="007C3B5D">
        <w:rPr>
          <w:rFonts w:cs="Arial"/>
          <w:b/>
          <w:sz w:val="24"/>
          <w:szCs w:val="22"/>
        </w:rPr>
        <w:t xml:space="preserve"> (Asset)</w:t>
      </w:r>
      <w:r>
        <w:rPr>
          <w:rFonts w:cs="Arial"/>
          <w:b/>
          <w:sz w:val="24"/>
          <w:szCs w:val="22"/>
        </w:rPr>
        <w:t xml:space="preserve"> </w:t>
      </w:r>
    </w:p>
    <w:p w14:paraId="15BEF20D" w14:textId="77777777" w:rsidR="00B33A0D" w:rsidRDefault="00B33A0D" w:rsidP="00B33A0D">
      <w:pPr>
        <w:rPr>
          <w:rFonts w:cs="Arial"/>
          <w:b/>
          <w:szCs w:val="22"/>
        </w:rPr>
      </w:pPr>
    </w:p>
    <w:p w14:paraId="5958913F" w14:textId="31D6C92C" w:rsidR="00B33A0D" w:rsidRDefault="00B33A0D" w:rsidP="00B33A0D">
      <w:pPr>
        <w:rPr>
          <w:rFonts w:cs="Arial"/>
          <w:szCs w:val="22"/>
        </w:rPr>
      </w:pPr>
      <w:r>
        <w:rPr>
          <w:rFonts w:cs="Arial"/>
          <w:szCs w:val="22"/>
        </w:rPr>
        <w:t>The collective net pension liabilit</w:t>
      </w:r>
      <w:r w:rsidR="007C3B5D">
        <w:rPr>
          <w:rFonts w:cs="Arial"/>
          <w:szCs w:val="22"/>
        </w:rPr>
        <w:t>y or asset</w:t>
      </w:r>
      <w:r>
        <w:rPr>
          <w:rFonts w:cs="Arial"/>
          <w:szCs w:val="22"/>
        </w:rPr>
        <w:t xml:space="preserve"> for the pension plans districts participated in are reported in the following tables</w:t>
      </w:r>
    </w:p>
    <w:bookmarkEnd w:id="4"/>
    <w:p w14:paraId="0BC2095F" w14:textId="2DEE4879" w:rsidR="000C46CF" w:rsidRDefault="000C46CF" w:rsidP="00C640C4">
      <w:pPr>
        <w:rPr>
          <w:rFonts w:cs="Arial"/>
          <w:szCs w:val="22"/>
        </w:rPr>
      </w:pPr>
    </w:p>
    <w:tbl>
      <w:tblPr>
        <w:tblStyle w:val="TableGrid"/>
        <w:tblW w:w="9576" w:type="dxa"/>
        <w:tblLayout w:type="fixed"/>
        <w:tblLook w:val="04A0" w:firstRow="1" w:lastRow="0" w:firstColumn="1" w:lastColumn="0" w:noHBand="0" w:noVBand="1"/>
      </w:tblPr>
      <w:tblGrid>
        <w:gridCol w:w="1345"/>
        <w:gridCol w:w="2057"/>
        <w:gridCol w:w="2058"/>
        <w:gridCol w:w="2058"/>
        <w:gridCol w:w="2058"/>
      </w:tblGrid>
      <w:tr w:rsidR="000C46CF" w:rsidRPr="004E3A4F" w14:paraId="3833A5C8" w14:textId="77777777" w:rsidTr="000C46CF">
        <w:trPr>
          <w:trHeight w:val="314"/>
          <w:tblHeader/>
        </w:trPr>
        <w:tc>
          <w:tcPr>
            <w:tcW w:w="9576" w:type="dxa"/>
            <w:gridSpan w:val="5"/>
            <w:shd w:val="clear" w:color="auto" w:fill="D9D9D9" w:themeFill="background1" w:themeFillShade="D9"/>
            <w:vAlign w:val="bottom"/>
          </w:tcPr>
          <w:p w14:paraId="085B78BD" w14:textId="36699C80" w:rsidR="000C46CF" w:rsidRPr="004E3A4F" w:rsidRDefault="000C46CF" w:rsidP="000C46CF">
            <w:pPr>
              <w:rPr>
                <w:rFonts w:cs="Segoe UI"/>
                <w:szCs w:val="22"/>
              </w:rPr>
            </w:pPr>
            <w:r w:rsidRPr="004E3A4F">
              <w:rPr>
                <w:rFonts w:cs="Segoe UI"/>
              </w:rPr>
              <w:t xml:space="preserve">The </w:t>
            </w:r>
            <w:r w:rsidR="00B33A0D">
              <w:rPr>
                <w:rFonts w:cs="Segoe UI"/>
              </w:rPr>
              <w:t xml:space="preserve">Collective </w:t>
            </w:r>
            <w:r w:rsidRPr="004E3A4F">
              <w:rPr>
                <w:rFonts w:cs="Segoe UI"/>
              </w:rPr>
              <w:t xml:space="preserve">Net Pension Liability </w:t>
            </w:r>
            <w:r w:rsidR="007C3B5D">
              <w:rPr>
                <w:rFonts w:cs="Segoe UI"/>
              </w:rPr>
              <w:t xml:space="preserve">or (Asset) </w:t>
            </w:r>
            <w:r w:rsidRPr="004E3A4F">
              <w:rPr>
                <w:rFonts w:cs="Segoe UI"/>
              </w:rPr>
              <w:t xml:space="preserve">as of June 30, </w:t>
            </w:r>
            <w:r w:rsidRPr="00280E51">
              <w:rPr>
                <w:rFonts w:cs="Segoe UI"/>
              </w:rPr>
              <w:t>20</w:t>
            </w:r>
            <w:r w:rsidR="00E3700D" w:rsidRPr="00280E51">
              <w:rPr>
                <w:rFonts w:cs="Segoe UI"/>
              </w:rPr>
              <w:t>2</w:t>
            </w:r>
            <w:r w:rsidR="00283E32">
              <w:rPr>
                <w:rFonts w:cs="Segoe UI"/>
              </w:rPr>
              <w:t>6</w:t>
            </w:r>
          </w:p>
        </w:tc>
      </w:tr>
      <w:tr w:rsidR="000C46CF" w:rsidRPr="004E3A4F" w14:paraId="2FCD796B" w14:textId="77777777" w:rsidTr="000C46CF">
        <w:trPr>
          <w:tblHeader/>
        </w:trPr>
        <w:tc>
          <w:tcPr>
            <w:tcW w:w="1345" w:type="dxa"/>
          </w:tcPr>
          <w:p w14:paraId="306BA932" w14:textId="77777777" w:rsidR="000C46CF" w:rsidRPr="004E3A4F" w:rsidRDefault="000C46CF" w:rsidP="000C46CF">
            <w:pPr>
              <w:rPr>
                <w:rFonts w:cs="Segoe UI"/>
              </w:rPr>
            </w:pPr>
          </w:p>
        </w:tc>
        <w:tc>
          <w:tcPr>
            <w:tcW w:w="2057" w:type="dxa"/>
            <w:vAlign w:val="center"/>
          </w:tcPr>
          <w:p w14:paraId="2D46BE34" w14:textId="77777777" w:rsidR="000C46CF" w:rsidRPr="004E3A4F" w:rsidRDefault="000C46CF" w:rsidP="000C46CF">
            <w:pPr>
              <w:jc w:val="center"/>
              <w:rPr>
                <w:rFonts w:cs="Segoe UI"/>
              </w:rPr>
            </w:pPr>
            <w:r w:rsidRPr="004E3A4F">
              <w:rPr>
                <w:rFonts w:cs="Segoe UI"/>
              </w:rPr>
              <w:t>Total Pension Liability</w:t>
            </w:r>
          </w:p>
        </w:tc>
        <w:tc>
          <w:tcPr>
            <w:tcW w:w="2058" w:type="dxa"/>
            <w:vAlign w:val="center"/>
          </w:tcPr>
          <w:p w14:paraId="0DFB9EF8" w14:textId="77777777" w:rsidR="000C46CF" w:rsidRPr="004E3A4F" w:rsidRDefault="000C46CF" w:rsidP="000C46CF">
            <w:pPr>
              <w:jc w:val="center"/>
              <w:rPr>
                <w:rFonts w:cs="Segoe UI"/>
              </w:rPr>
            </w:pPr>
            <w:r w:rsidRPr="004E3A4F">
              <w:rPr>
                <w:rFonts w:cs="Segoe UI"/>
              </w:rPr>
              <w:t>Plan fiduciary net position</w:t>
            </w:r>
          </w:p>
        </w:tc>
        <w:tc>
          <w:tcPr>
            <w:tcW w:w="2058" w:type="dxa"/>
            <w:vAlign w:val="center"/>
          </w:tcPr>
          <w:p w14:paraId="090E4DEA" w14:textId="2E11964A" w:rsidR="000C46CF" w:rsidRPr="004E3A4F" w:rsidRDefault="000C46CF" w:rsidP="000C46CF">
            <w:pPr>
              <w:jc w:val="center"/>
              <w:rPr>
                <w:rFonts w:cs="Segoe UI"/>
              </w:rPr>
            </w:pPr>
            <w:proofErr w:type="gramStart"/>
            <w:r w:rsidRPr="004E3A4F">
              <w:rPr>
                <w:rFonts w:cs="Segoe UI"/>
              </w:rPr>
              <w:t>Participating</w:t>
            </w:r>
            <w:proofErr w:type="gramEnd"/>
            <w:r w:rsidRPr="004E3A4F">
              <w:rPr>
                <w:rFonts w:cs="Segoe UI"/>
              </w:rPr>
              <w:t xml:space="preserve"> employers’ net pension liability</w:t>
            </w:r>
            <w:r w:rsidR="007C3B5D">
              <w:rPr>
                <w:rFonts w:cs="Segoe UI"/>
              </w:rPr>
              <w:t xml:space="preserve"> or (Asset)</w:t>
            </w:r>
          </w:p>
        </w:tc>
        <w:tc>
          <w:tcPr>
            <w:tcW w:w="2058" w:type="dxa"/>
            <w:vAlign w:val="center"/>
          </w:tcPr>
          <w:p w14:paraId="04CFB7DE" w14:textId="77777777" w:rsidR="000C46CF" w:rsidRPr="004E3A4F" w:rsidRDefault="000C46CF" w:rsidP="000C46CF">
            <w:pPr>
              <w:jc w:val="center"/>
              <w:rPr>
                <w:rFonts w:cs="Segoe UI"/>
              </w:rPr>
            </w:pPr>
            <w:r w:rsidRPr="004E3A4F">
              <w:rPr>
                <w:rFonts w:cs="Segoe UI"/>
              </w:rPr>
              <w:t>Plan fiduciary net position as a percentage of the total pension liability</w:t>
            </w:r>
          </w:p>
        </w:tc>
      </w:tr>
      <w:tr w:rsidR="00AB2B8D" w:rsidRPr="004E3A4F" w14:paraId="7A28A39F" w14:textId="77777777" w:rsidTr="00FB17F0">
        <w:trPr>
          <w:tblHeader/>
        </w:trPr>
        <w:tc>
          <w:tcPr>
            <w:tcW w:w="1345" w:type="dxa"/>
            <w:vAlign w:val="center"/>
          </w:tcPr>
          <w:p w14:paraId="78B7D96E" w14:textId="77777777" w:rsidR="00AB2B8D" w:rsidRPr="004E3A4F" w:rsidRDefault="00AB2B8D" w:rsidP="00FB17F0">
            <w:pPr>
              <w:rPr>
                <w:rFonts w:cs="Segoe UI"/>
              </w:rPr>
            </w:pPr>
            <w:r w:rsidRPr="004E3A4F">
              <w:rPr>
                <w:rFonts w:cs="Segoe UI"/>
              </w:rPr>
              <w:t>PERS 1</w:t>
            </w:r>
          </w:p>
        </w:tc>
        <w:tc>
          <w:tcPr>
            <w:tcW w:w="2057" w:type="dxa"/>
            <w:vAlign w:val="center"/>
          </w:tcPr>
          <w:p w14:paraId="401D4FD1" w14:textId="6D5ED745" w:rsidR="00AB2B8D" w:rsidRPr="004E3A4F" w:rsidRDefault="00A36BBF" w:rsidP="00C82C94">
            <w:pPr>
              <w:jc w:val="right"/>
              <w:rPr>
                <w:rFonts w:cs="Segoe UI"/>
              </w:rPr>
            </w:pPr>
            <w:r>
              <w:rPr>
                <w:rFonts w:cs="Segoe UI"/>
              </w:rPr>
              <w:t>9,937,392,000</w:t>
            </w:r>
          </w:p>
        </w:tc>
        <w:tc>
          <w:tcPr>
            <w:tcW w:w="2058" w:type="dxa"/>
            <w:vAlign w:val="center"/>
          </w:tcPr>
          <w:p w14:paraId="3F8BCC55" w14:textId="18E6A10C" w:rsidR="00AB2B8D" w:rsidRPr="004E3A4F" w:rsidRDefault="00A36BBF" w:rsidP="00C82C94">
            <w:pPr>
              <w:jc w:val="right"/>
              <w:rPr>
                <w:rFonts w:cs="Segoe UI"/>
              </w:rPr>
            </w:pPr>
            <w:r>
              <w:rPr>
                <w:rFonts w:cs="Segoe UI"/>
              </w:rPr>
              <w:t>9,523,582,000</w:t>
            </w:r>
          </w:p>
        </w:tc>
        <w:tc>
          <w:tcPr>
            <w:tcW w:w="2058" w:type="dxa"/>
            <w:vAlign w:val="center"/>
          </w:tcPr>
          <w:p w14:paraId="712AB6B0" w14:textId="51A7FFAA" w:rsidR="00AB2B8D" w:rsidRPr="004E3A4F" w:rsidRDefault="00A36BBF" w:rsidP="00C82C94">
            <w:pPr>
              <w:jc w:val="right"/>
              <w:rPr>
                <w:rFonts w:cs="Segoe UI"/>
              </w:rPr>
            </w:pPr>
            <w:r>
              <w:rPr>
                <w:rFonts w:cs="Segoe UI"/>
              </w:rPr>
              <w:t>413,810,000</w:t>
            </w:r>
          </w:p>
        </w:tc>
        <w:tc>
          <w:tcPr>
            <w:tcW w:w="2058" w:type="dxa"/>
            <w:vAlign w:val="center"/>
          </w:tcPr>
          <w:p w14:paraId="0EAF67AA" w14:textId="6F7DED3E" w:rsidR="00AB2B8D" w:rsidRPr="004E3A4F" w:rsidRDefault="00A36BBF" w:rsidP="00C82C94">
            <w:pPr>
              <w:jc w:val="right"/>
              <w:rPr>
                <w:rFonts w:cs="Segoe UI"/>
              </w:rPr>
            </w:pPr>
            <w:r>
              <w:rPr>
                <w:rFonts w:cs="Segoe UI"/>
              </w:rPr>
              <w:t>95.84%</w:t>
            </w:r>
          </w:p>
        </w:tc>
      </w:tr>
      <w:tr w:rsidR="00AB2B8D" w:rsidRPr="004E3A4F" w14:paraId="7AC74019" w14:textId="77777777" w:rsidTr="00FB17F0">
        <w:trPr>
          <w:tblHeader/>
        </w:trPr>
        <w:tc>
          <w:tcPr>
            <w:tcW w:w="1345" w:type="dxa"/>
            <w:vAlign w:val="center"/>
          </w:tcPr>
          <w:p w14:paraId="0419F3D1" w14:textId="77777777" w:rsidR="00AB2B8D" w:rsidRPr="004E3A4F" w:rsidRDefault="00AB2B8D" w:rsidP="00FB17F0">
            <w:pPr>
              <w:rPr>
                <w:rFonts w:cs="Segoe UI"/>
              </w:rPr>
            </w:pPr>
            <w:r w:rsidRPr="004E3A4F">
              <w:rPr>
                <w:rFonts w:cs="Segoe UI"/>
              </w:rPr>
              <w:t>SERS 2/3</w:t>
            </w:r>
          </w:p>
        </w:tc>
        <w:tc>
          <w:tcPr>
            <w:tcW w:w="2057" w:type="dxa"/>
            <w:vAlign w:val="center"/>
          </w:tcPr>
          <w:p w14:paraId="72AB3F83" w14:textId="3AC2C162" w:rsidR="00AB2B8D" w:rsidRPr="004E3A4F" w:rsidRDefault="00A36BBF" w:rsidP="00C82C94">
            <w:pPr>
              <w:jc w:val="right"/>
              <w:rPr>
                <w:rFonts w:cs="Segoe UI"/>
              </w:rPr>
            </w:pPr>
            <w:r>
              <w:rPr>
                <w:rFonts w:cs="Segoe UI"/>
              </w:rPr>
              <w:t>11,499,394,000</w:t>
            </w:r>
          </w:p>
        </w:tc>
        <w:tc>
          <w:tcPr>
            <w:tcW w:w="2058" w:type="dxa"/>
            <w:vAlign w:val="center"/>
          </w:tcPr>
          <w:p w14:paraId="2EB07356" w14:textId="049C810D" w:rsidR="00AB2B8D" w:rsidRPr="004E3A4F" w:rsidRDefault="00A36BBF" w:rsidP="00C82C94">
            <w:pPr>
              <w:jc w:val="right"/>
              <w:rPr>
                <w:rFonts w:cs="Segoe UI"/>
              </w:rPr>
            </w:pPr>
            <w:r>
              <w:rPr>
                <w:rFonts w:cs="Segoe UI"/>
              </w:rPr>
              <w:t>12,497,125,000</w:t>
            </w:r>
          </w:p>
        </w:tc>
        <w:tc>
          <w:tcPr>
            <w:tcW w:w="2058" w:type="dxa"/>
            <w:vAlign w:val="center"/>
          </w:tcPr>
          <w:p w14:paraId="42456FB3" w14:textId="3EE5135C" w:rsidR="00AB2B8D" w:rsidRPr="004E3A4F" w:rsidRDefault="00A36BBF" w:rsidP="00C82C94">
            <w:pPr>
              <w:jc w:val="right"/>
              <w:rPr>
                <w:rFonts w:cs="Segoe UI"/>
              </w:rPr>
            </w:pPr>
            <w:r>
              <w:rPr>
                <w:rFonts w:cs="Segoe UI"/>
              </w:rPr>
              <w:t>(997,731,000)</w:t>
            </w:r>
          </w:p>
        </w:tc>
        <w:tc>
          <w:tcPr>
            <w:tcW w:w="2058" w:type="dxa"/>
            <w:vAlign w:val="center"/>
          </w:tcPr>
          <w:p w14:paraId="7CDB0E79" w14:textId="5DAABFA4" w:rsidR="00AB2B8D" w:rsidRPr="004E3A4F" w:rsidRDefault="00E3652C" w:rsidP="00C82C94">
            <w:pPr>
              <w:jc w:val="right"/>
              <w:rPr>
                <w:rFonts w:cs="Segoe UI"/>
              </w:rPr>
            </w:pPr>
            <w:r>
              <w:rPr>
                <w:rFonts w:cs="Segoe UI"/>
              </w:rPr>
              <w:t>108.68%</w:t>
            </w:r>
          </w:p>
        </w:tc>
      </w:tr>
      <w:tr w:rsidR="00AB2B8D" w:rsidRPr="004E3A4F" w14:paraId="25D47EE6" w14:textId="77777777" w:rsidTr="00FB17F0">
        <w:trPr>
          <w:tblHeader/>
        </w:trPr>
        <w:tc>
          <w:tcPr>
            <w:tcW w:w="1345" w:type="dxa"/>
            <w:vAlign w:val="center"/>
          </w:tcPr>
          <w:p w14:paraId="48F300EF" w14:textId="77777777" w:rsidR="00AB2B8D" w:rsidRPr="004E3A4F" w:rsidRDefault="00AB2B8D" w:rsidP="00FB17F0">
            <w:pPr>
              <w:rPr>
                <w:rFonts w:cs="Segoe UI"/>
              </w:rPr>
            </w:pPr>
            <w:r w:rsidRPr="004E3A4F">
              <w:rPr>
                <w:rFonts w:cs="Segoe UI"/>
              </w:rPr>
              <w:t>TRS 1</w:t>
            </w:r>
          </w:p>
        </w:tc>
        <w:tc>
          <w:tcPr>
            <w:tcW w:w="2057" w:type="dxa"/>
            <w:vAlign w:val="center"/>
          </w:tcPr>
          <w:p w14:paraId="2D77A26C" w14:textId="3AAAD294" w:rsidR="00AB2B8D" w:rsidRPr="004E3A4F" w:rsidRDefault="00E3652C" w:rsidP="00C82C94">
            <w:pPr>
              <w:jc w:val="right"/>
              <w:rPr>
                <w:rFonts w:cs="Segoe UI"/>
              </w:rPr>
            </w:pPr>
            <w:r>
              <w:rPr>
                <w:rFonts w:cs="Segoe UI"/>
              </w:rPr>
              <w:t>7,182,555,000</w:t>
            </w:r>
          </w:p>
        </w:tc>
        <w:tc>
          <w:tcPr>
            <w:tcW w:w="2058" w:type="dxa"/>
            <w:vAlign w:val="center"/>
          </w:tcPr>
          <w:p w14:paraId="619EDBA7" w14:textId="1B0C06DF" w:rsidR="00AB2B8D" w:rsidRPr="004E3A4F" w:rsidRDefault="00E3652C" w:rsidP="00C82C94">
            <w:pPr>
              <w:jc w:val="right"/>
              <w:rPr>
                <w:rFonts w:cs="Segoe UI"/>
              </w:rPr>
            </w:pPr>
            <w:r>
              <w:rPr>
                <w:rFonts w:cs="Segoe UI"/>
              </w:rPr>
              <w:t>6,977,929,000</w:t>
            </w:r>
          </w:p>
        </w:tc>
        <w:tc>
          <w:tcPr>
            <w:tcW w:w="2058" w:type="dxa"/>
            <w:vAlign w:val="center"/>
          </w:tcPr>
          <w:p w14:paraId="265D8E61" w14:textId="76FEE372" w:rsidR="00AB2B8D" w:rsidRPr="004E3A4F" w:rsidRDefault="00E3652C" w:rsidP="00C82C94">
            <w:pPr>
              <w:jc w:val="right"/>
              <w:rPr>
                <w:rFonts w:cs="Segoe UI"/>
              </w:rPr>
            </w:pPr>
            <w:r>
              <w:rPr>
                <w:rFonts w:cs="Segoe UI"/>
              </w:rPr>
              <w:t>204,626,000</w:t>
            </w:r>
          </w:p>
        </w:tc>
        <w:tc>
          <w:tcPr>
            <w:tcW w:w="2058" w:type="dxa"/>
            <w:vAlign w:val="center"/>
          </w:tcPr>
          <w:p w14:paraId="6E2BEA9D" w14:textId="181F6B68" w:rsidR="00AB2B8D" w:rsidRPr="004E3A4F" w:rsidRDefault="00E3652C" w:rsidP="00C82C94">
            <w:pPr>
              <w:jc w:val="right"/>
              <w:rPr>
                <w:rFonts w:cs="Segoe UI"/>
              </w:rPr>
            </w:pPr>
            <w:r>
              <w:rPr>
                <w:rFonts w:cs="Segoe UI"/>
              </w:rPr>
              <w:t>97.15%</w:t>
            </w:r>
          </w:p>
        </w:tc>
      </w:tr>
      <w:tr w:rsidR="00AB2B8D" w:rsidRPr="004E3A4F" w14:paraId="64FDACDE" w14:textId="77777777" w:rsidTr="00FB17F0">
        <w:trPr>
          <w:tblHeader/>
        </w:trPr>
        <w:tc>
          <w:tcPr>
            <w:tcW w:w="1345" w:type="dxa"/>
            <w:vAlign w:val="center"/>
          </w:tcPr>
          <w:p w14:paraId="64150CC1" w14:textId="77777777" w:rsidR="00AB2B8D" w:rsidRPr="004E3A4F" w:rsidRDefault="00AB2B8D" w:rsidP="00FB17F0">
            <w:pPr>
              <w:rPr>
                <w:rFonts w:cs="Segoe UI"/>
              </w:rPr>
            </w:pPr>
            <w:r w:rsidRPr="004E3A4F">
              <w:rPr>
                <w:rFonts w:cs="Segoe UI"/>
              </w:rPr>
              <w:t>TRS 2/3</w:t>
            </w:r>
          </w:p>
        </w:tc>
        <w:tc>
          <w:tcPr>
            <w:tcW w:w="2057" w:type="dxa"/>
            <w:vAlign w:val="center"/>
          </w:tcPr>
          <w:p w14:paraId="169721BB" w14:textId="575469B9" w:rsidR="00AB2B8D" w:rsidRPr="004E3A4F" w:rsidRDefault="00E3652C" w:rsidP="00C82C94">
            <w:pPr>
              <w:jc w:val="right"/>
              <w:rPr>
                <w:rFonts w:cs="Segoe UI"/>
              </w:rPr>
            </w:pPr>
            <w:r>
              <w:rPr>
                <w:rFonts w:cs="Segoe UI"/>
              </w:rPr>
              <w:t>30,881,235,000</w:t>
            </w:r>
          </w:p>
        </w:tc>
        <w:tc>
          <w:tcPr>
            <w:tcW w:w="2058" w:type="dxa"/>
            <w:vAlign w:val="center"/>
          </w:tcPr>
          <w:p w14:paraId="3EF5BFB3" w14:textId="6145B2C5" w:rsidR="00AB2B8D" w:rsidRPr="004E3A4F" w:rsidRDefault="00E3652C" w:rsidP="00C82C94">
            <w:pPr>
              <w:jc w:val="right"/>
              <w:rPr>
                <w:rFonts w:cs="Segoe UI"/>
              </w:rPr>
            </w:pPr>
            <w:r>
              <w:rPr>
                <w:rFonts w:cs="Segoe UI"/>
              </w:rPr>
              <w:t>33,669,396,000</w:t>
            </w:r>
          </w:p>
        </w:tc>
        <w:tc>
          <w:tcPr>
            <w:tcW w:w="2058" w:type="dxa"/>
            <w:vAlign w:val="center"/>
          </w:tcPr>
          <w:p w14:paraId="74C81BC7" w14:textId="0D161BB9" w:rsidR="00AB2B8D" w:rsidRPr="004E3A4F" w:rsidRDefault="00E3652C" w:rsidP="00C82C94">
            <w:pPr>
              <w:jc w:val="right"/>
              <w:rPr>
                <w:rFonts w:cs="Segoe UI"/>
              </w:rPr>
            </w:pPr>
            <w:r>
              <w:rPr>
                <w:rFonts w:cs="Segoe UI"/>
              </w:rPr>
              <w:t>(2,788,161,000)</w:t>
            </w:r>
          </w:p>
        </w:tc>
        <w:tc>
          <w:tcPr>
            <w:tcW w:w="2058" w:type="dxa"/>
            <w:vAlign w:val="center"/>
          </w:tcPr>
          <w:p w14:paraId="3BDE94C2" w14:textId="582F9C91" w:rsidR="00AB2B8D" w:rsidRPr="004E3A4F" w:rsidRDefault="00E3652C" w:rsidP="00C82C94">
            <w:pPr>
              <w:jc w:val="right"/>
              <w:rPr>
                <w:rFonts w:cs="Segoe UI"/>
              </w:rPr>
            </w:pPr>
            <w:r>
              <w:rPr>
                <w:rFonts w:cs="Segoe UI"/>
              </w:rPr>
              <w:t>109.03%</w:t>
            </w:r>
          </w:p>
        </w:tc>
      </w:tr>
    </w:tbl>
    <w:p w14:paraId="295F0976" w14:textId="3DFAB83D" w:rsidR="000C46CF" w:rsidRDefault="000C46CF" w:rsidP="00C640C4">
      <w:pPr>
        <w:rPr>
          <w:rFonts w:cs="Arial"/>
          <w:szCs w:val="22"/>
        </w:rPr>
      </w:pPr>
    </w:p>
    <w:p w14:paraId="4AB30D10" w14:textId="150AFDB8" w:rsidR="000C46CF" w:rsidRPr="001D0F35" w:rsidRDefault="000C46CF" w:rsidP="000C46CF">
      <w:pPr>
        <w:rPr>
          <w:rFonts w:cs="Segoe UI"/>
          <w:szCs w:val="22"/>
        </w:rPr>
      </w:pPr>
      <w:r w:rsidRPr="000C46CF">
        <w:rPr>
          <w:rFonts w:cs="Segoe UI"/>
          <w:szCs w:val="22"/>
        </w:rPr>
        <w:t xml:space="preserve">Detailed information about the pension plans’ fiduciary net position is available in the separately issued DRS </w:t>
      </w:r>
      <w:r w:rsidR="00876381">
        <w:rPr>
          <w:rFonts w:cs="Segoe UI"/>
          <w:szCs w:val="22"/>
        </w:rPr>
        <w:t>report</w:t>
      </w:r>
      <w:r w:rsidRPr="000C46CF">
        <w:rPr>
          <w:rFonts w:cs="Segoe UI"/>
          <w:szCs w:val="22"/>
        </w:rPr>
        <w:t>. Copies of the report may be obtained by contacting t</w:t>
      </w:r>
      <w:r w:rsidRPr="00441365">
        <w:rPr>
          <w:rFonts w:cs="Segoe UI"/>
          <w:szCs w:val="22"/>
        </w:rPr>
        <w:t>he Washington State Department of Retirement Systems, P.O. Box 48380, Olympia</w:t>
      </w:r>
      <w:r w:rsidRPr="00024342">
        <w:rPr>
          <w:rFonts w:cs="Segoe UI"/>
          <w:szCs w:val="22"/>
        </w:rPr>
        <w:t xml:space="preserve">, WA  98504-8380; or online at </w:t>
      </w:r>
      <w:hyperlink r:id="rId8" w:history="1">
        <w:r w:rsidRPr="00280E51">
          <w:rPr>
            <w:rStyle w:val="Hyperlink"/>
            <w:rFonts w:cs="Segoe UI"/>
            <w:szCs w:val="22"/>
          </w:rPr>
          <w:t xml:space="preserve">Annual </w:t>
        </w:r>
        <w:r w:rsidR="00280E51" w:rsidRPr="00280E51">
          <w:rPr>
            <w:rStyle w:val="Hyperlink"/>
            <w:rFonts w:cs="Segoe UI"/>
            <w:szCs w:val="22"/>
          </w:rPr>
          <w:t xml:space="preserve">Comprehensive </w:t>
        </w:r>
        <w:r w:rsidRPr="00280E51">
          <w:rPr>
            <w:rStyle w:val="Hyperlink"/>
            <w:rFonts w:cs="Segoe UI"/>
            <w:szCs w:val="22"/>
          </w:rPr>
          <w:t>Financial Reports</w:t>
        </w:r>
      </w:hyperlink>
      <w:r>
        <w:rPr>
          <w:rFonts w:cs="Segoe UI"/>
          <w:szCs w:val="22"/>
        </w:rPr>
        <w:t xml:space="preserve"> </w:t>
      </w:r>
      <w:r w:rsidRPr="00441365">
        <w:rPr>
          <w:rFonts w:cs="Segoe UI"/>
          <w:szCs w:val="22"/>
        </w:rPr>
        <w:t>or</w:t>
      </w:r>
      <w:r w:rsidR="00280E51">
        <w:rPr>
          <w:rFonts w:cs="Segoe UI"/>
          <w:szCs w:val="22"/>
        </w:rPr>
        <w:t xml:space="preserve"> </w:t>
      </w:r>
      <w:r w:rsidR="004A4C7B" w:rsidRPr="004A4C7B">
        <w:rPr>
          <w:rFonts w:cs="Segoe UI"/>
          <w:szCs w:val="22"/>
        </w:rPr>
        <w:t>http://www.drs.wa.go</w:t>
      </w:r>
      <w:r w:rsidR="00280E51">
        <w:rPr>
          <w:rFonts w:cs="Segoe UI"/>
          <w:szCs w:val="22"/>
        </w:rPr>
        <w:t>v/news/</w:t>
      </w:r>
      <w:r w:rsidRPr="001D0F35">
        <w:rPr>
          <w:rFonts w:cs="Segoe UI"/>
          <w:szCs w:val="22"/>
        </w:rPr>
        <w:t>.</w:t>
      </w:r>
    </w:p>
    <w:p w14:paraId="6DA94EA7" w14:textId="77777777" w:rsidR="00C640C4" w:rsidRPr="00241BC1" w:rsidRDefault="00C640C4" w:rsidP="00C640C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133B5F0C" w14:textId="77777777" w:rsidR="00C640C4" w:rsidRPr="00241BC1" w:rsidRDefault="00C640C4" w:rsidP="00A45E12">
      <w:pPr>
        <w:pStyle w:val="Heading2"/>
      </w:pPr>
      <w:r w:rsidRPr="00241BC1">
        <w:t xml:space="preserve">Membership Participation </w:t>
      </w:r>
    </w:p>
    <w:p w14:paraId="67BA04EE" w14:textId="77777777" w:rsidR="00C640C4" w:rsidRPr="00241BC1" w:rsidRDefault="00C640C4" w:rsidP="00C640C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665C19CA" w14:textId="77777777" w:rsidR="00C640C4" w:rsidRPr="00241BC1" w:rsidRDefault="00C640C4" w:rsidP="00C640C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r w:rsidRPr="00241BC1">
        <w:rPr>
          <w:rFonts w:cs="Arial"/>
          <w:szCs w:val="22"/>
        </w:rPr>
        <w:t xml:space="preserve">Substantially all school district full-time and qualifying part-time employees participate in one of the following three contributory, multi-employer, cost-sharing statewide retirement systems </w:t>
      </w:r>
      <w:r w:rsidRPr="00241BC1">
        <w:rPr>
          <w:rFonts w:cs="Arial"/>
          <w:szCs w:val="22"/>
        </w:rPr>
        <w:lastRenderedPageBreak/>
        <w:t xml:space="preserve">managed by DRS: Teachers’ Retirement System (TRS), Public Employees’ Retirement System (PERS) and School Employees’ Retirement System (SERS). </w:t>
      </w:r>
    </w:p>
    <w:p w14:paraId="765659D5" w14:textId="77777777" w:rsidR="00C640C4" w:rsidRPr="00241BC1" w:rsidRDefault="00C640C4" w:rsidP="00C640C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5E97B800" w14:textId="77777777" w:rsidR="003132CB" w:rsidRDefault="003132CB" w:rsidP="003132CB">
      <w:pPr>
        <w:pStyle w:val="Heading3"/>
        <w:ind w:left="0"/>
        <w:rPr>
          <w:iCs/>
        </w:rPr>
      </w:pPr>
      <w:r>
        <w:rPr>
          <w:iCs/>
        </w:rPr>
        <w:t>Membership &amp; Plan Benefits</w:t>
      </w:r>
    </w:p>
    <w:p w14:paraId="7D7AD3B4" w14:textId="77777777" w:rsidR="003132CB" w:rsidRDefault="003132CB" w:rsidP="003132C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u w:val="single"/>
        </w:rPr>
      </w:pPr>
    </w:p>
    <w:p w14:paraId="6C189C52" w14:textId="3A085E8A" w:rsidR="003132CB" w:rsidRDefault="003132CB" w:rsidP="003132CB">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Pr>
          <w:rFonts w:cs="Segoe UI"/>
          <w:szCs w:val="24"/>
        </w:rPr>
        <w:t xml:space="preserve">Certificated employees are members of TRS. Classified employees are members of PERS (if Plan 1) or SERS. </w:t>
      </w:r>
      <w:bookmarkStart w:id="5" w:name="_Hlk209013917"/>
      <w:r w:rsidR="00280E51">
        <w:rPr>
          <w:rFonts w:cs="Segoe UI"/>
          <w:szCs w:val="24"/>
        </w:rPr>
        <w:t xml:space="preserve">The TRS and PERS </w:t>
      </w:r>
      <w:r>
        <w:rPr>
          <w:rFonts w:cs="Segoe UI"/>
          <w:szCs w:val="24"/>
        </w:rPr>
        <w:t xml:space="preserve">Plan 1 programs are </w:t>
      </w:r>
      <w:bookmarkEnd w:id="5"/>
      <w:r>
        <w:rPr>
          <w:rFonts w:cs="Segoe UI"/>
          <w:szCs w:val="24"/>
        </w:rPr>
        <w:t>defined benefit pension plans whose members joined the system on or before September 30, 1977. TRS 1 and PERS 1 are closed to new entrants.</w:t>
      </w:r>
    </w:p>
    <w:p w14:paraId="0731E06A" w14:textId="77777777" w:rsidR="003132CB" w:rsidRDefault="003132CB" w:rsidP="003132C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cs="Segoe UI"/>
          <w:szCs w:val="24"/>
        </w:rPr>
      </w:pPr>
    </w:p>
    <w:p w14:paraId="1F7B0845" w14:textId="77777777" w:rsidR="003132CB" w:rsidRDefault="003132CB" w:rsidP="003132CB">
      <w:pPr>
        <w:ind w:left="360"/>
        <w:rPr>
          <w:rFonts w:cs="Segoe UI"/>
          <w:szCs w:val="24"/>
          <w:u w:val="single"/>
        </w:rPr>
      </w:pPr>
      <w:r>
        <w:rPr>
          <w:rFonts w:cs="Segoe UI"/>
          <w:szCs w:val="24"/>
          <w:u w:val="single"/>
        </w:rPr>
        <w:t>TRS Plan Information</w:t>
      </w:r>
    </w:p>
    <w:p w14:paraId="4DF8F6AA" w14:textId="77777777" w:rsidR="003132CB" w:rsidRDefault="003132CB" w:rsidP="003132CB">
      <w:pPr>
        <w:ind w:left="360"/>
        <w:rPr>
          <w:rFonts w:cs="Segoe UI"/>
          <w:szCs w:val="24"/>
        </w:rPr>
      </w:pPr>
      <w:bookmarkStart w:id="6" w:name="_Hlk149295528"/>
      <w:r>
        <w:rPr>
          <w:rFonts w:cs="Segoe UI"/>
          <w:szCs w:val="24"/>
        </w:rPr>
        <w:t xml:space="preserve">TRS was established in 1938, and its retirement provisions are contained in Chapters 41.32 and 41.34 RCW. TRS eligibility for membership requires service as a certificated, public-school employee working in an instructional, administrative, or supervisory capacity. TRS is a cost-sharing multi-employer retirement system comprised of three separate plans for membership purposes: Plans 1 and 2 are defined benefit plans and Plan 3 is a defined benefit plan with a defined contribution component. </w:t>
      </w:r>
    </w:p>
    <w:p w14:paraId="631BA90E" w14:textId="77777777" w:rsidR="003132CB" w:rsidRDefault="003132CB" w:rsidP="003132CB">
      <w:pPr>
        <w:ind w:left="360"/>
        <w:rPr>
          <w:rFonts w:cs="Segoe UI"/>
          <w:szCs w:val="24"/>
        </w:rPr>
      </w:pPr>
    </w:p>
    <w:p w14:paraId="37315AFF" w14:textId="77777777" w:rsidR="003132CB" w:rsidRDefault="003132CB" w:rsidP="003132CB">
      <w:pPr>
        <w:ind w:left="360"/>
        <w:rPr>
          <w:rFonts w:cs="Segoe UI"/>
          <w:szCs w:val="24"/>
        </w:rPr>
      </w:pPr>
      <w:r>
        <w:rPr>
          <w:rFonts w:cs="Segoe UI"/>
          <w:szCs w:val="24"/>
        </w:rPr>
        <w:t>TRS is comprised of three separate plans for accounting purposes: Plan 1, Plan 2/3, and Plan 3. Plan 1 accounts for the defined benefits of Plan 1 members. Plan 2/3 accounts for the defined benefits of Plan 2 members and the defined benefit portion of benefits for Plan 3 members. Plan 3 accounts for the defined contribution portion of benefits for Plan 3 members. Although members can only be a member of either Plan 2 or Plan 3, the defined benefit portions of Plan 2 and Plan 3 are accounted for in the same pension trust fund. All assets of this Plan 2/3 defined benefit plan may legally be used to pay the defined benefits of any of the Plan 2 or Plan 3 members or beneficiaries, as defined by the terms of the plan. Therefore, Plan 2/3 is a single plan for accounting purposes.</w:t>
      </w:r>
    </w:p>
    <w:bookmarkEnd w:id="6"/>
    <w:p w14:paraId="7B7CCB77" w14:textId="77777777" w:rsidR="003132CB" w:rsidRDefault="003132CB" w:rsidP="003132CB">
      <w:pPr>
        <w:ind w:left="360"/>
        <w:rPr>
          <w:rFonts w:cs="Segoe UI"/>
          <w:szCs w:val="24"/>
        </w:rPr>
      </w:pPr>
    </w:p>
    <w:p w14:paraId="7D968478" w14:textId="77777777" w:rsidR="003132CB" w:rsidRDefault="003132CB" w:rsidP="003132CB">
      <w:pPr>
        <w:ind w:left="360"/>
        <w:rPr>
          <w:rFonts w:cs="Segoe UI"/>
          <w:szCs w:val="24"/>
        </w:rPr>
      </w:pPr>
      <w:bookmarkStart w:id="7" w:name="_Hlk149293172"/>
      <w:r>
        <w:rPr>
          <w:rFonts w:cs="Segoe UI"/>
          <w:szCs w:val="24"/>
        </w:rPr>
        <w:t xml:space="preserve">TRS Plan 1 provides retirement, disability, and death benefits. Retirement benefits are calculated using 2% of the member’s Average Final Compensation (AFC) times the member’s years of service – up to a maximum of 60%. AFC is the average of the </w:t>
      </w:r>
      <w:proofErr w:type="gramStart"/>
      <w:r>
        <w:rPr>
          <w:rFonts w:cs="Segoe UI"/>
          <w:szCs w:val="24"/>
        </w:rPr>
        <w:t>member’s</w:t>
      </w:r>
      <w:proofErr w:type="gramEnd"/>
      <w:r>
        <w:rPr>
          <w:rFonts w:cs="Segoe UI"/>
          <w:szCs w:val="24"/>
        </w:rPr>
        <w:t xml:space="preserve"> two consecutive highest-paid fiscal years.</w:t>
      </w:r>
    </w:p>
    <w:p w14:paraId="1264F3B2" w14:textId="77777777" w:rsidR="003132CB" w:rsidRDefault="003132CB" w:rsidP="003132CB">
      <w:pPr>
        <w:ind w:left="360"/>
        <w:rPr>
          <w:rFonts w:cs="Segoe UI"/>
          <w:szCs w:val="24"/>
        </w:rPr>
      </w:pPr>
    </w:p>
    <w:p w14:paraId="45E5B022" w14:textId="77777777" w:rsidR="003132CB" w:rsidRDefault="003132CB" w:rsidP="003132CB">
      <w:pPr>
        <w:ind w:left="360"/>
        <w:rPr>
          <w:rFonts w:cs="Segoe UI"/>
          <w:szCs w:val="24"/>
        </w:rPr>
      </w:pPr>
      <w:r>
        <w:rPr>
          <w:rFonts w:cs="Segoe UI"/>
          <w:szCs w:val="24"/>
        </w:rPr>
        <w:t>Members are eligible for retirement at any age after 30 years of service, at the age of 60 with five years of service, or at the age of 55 with 25 years of service. Other benefits include temporary and permanent disability payments</w:t>
      </w:r>
      <w:proofErr w:type="gramStart"/>
      <w:r>
        <w:rPr>
          <w:rFonts w:cs="Segoe UI"/>
          <w:szCs w:val="24"/>
        </w:rPr>
        <w:t>, an</w:t>
      </w:r>
      <w:proofErr w:type="gramEnd"/>
      <w:r>
        <w:rPr>
          <w:rFonts w:cs="Segoe UI"/>
          <w:szCs w:val="24"/>
        </w:rPr>
        <w:t xml:space="preserve"> optional cost-of-living adjustment (COLA). </w:t>
      </w:r>
    </w:p>
    <w:bookmarkEnd w:id="7"/>
    <w:p w14:paraId="17A2D23C" w14:textId="77777777" w:rsidR="003132CB" w:rsidRDefault="003132CB" w:rsidP="003132CB">
      <w:pPr>
        <w:ind w:left="360"/>
        <w:rPr>
          <w:rFonts w:cs="Segoe UI"/>
          <w:szCs w:val="24"/>
        </w:rPr>
      </w:pPr>
    </w:p>
    <w:p w14:paraId="5C67FF05" w14:textId="77777777" w:rsidR="003132CB" w:rsidRDefault="003132CB" w:rsidP="003132CB">
      <w:pPr>
        <w:ind w:left="360"/>
        <w:rPr>
          <w:rFonts w:cs="Segoe UI"/>
          <w:szCs w:val="24"/>
        </w:rPr>
      </w:pPr>
      <w:r>
        <w:rPr>
          <w:rFonts w:cs="Segoe UI"/>
          <w:szCs w:val="24"/>
        </w:rPr>
        <w:t xml:space="preserve">TRS Plan 2/3 provides retirement, disability and death benefits. </w:t>
      </w:r>
      <w:bookmarkStart w:id="8" w:name="_Hlk149291915"/>
      <w:r>
        <w:rPr>
          <w:rFonts w:cs="Segoe UI"/>
          <w:szCs w:val="24"/>
        </w:rPr>
        <w:t xml:space="preserve">Retirement benefits for Plan 2 are calculated using 2% of the </w:t>
      </w:r>
      <w:proofErr w:type="gramStart"/>
      <w:r>
        <w:rPr>
          <w:rFonts w:cs="Segoe UI"/>
          <w:szCs w:val="24"/>
        </w:rPr>
        <w:t>member’s</w:t>
      </w:r>
      <w:proofErr w:type="gramEnd"/>
      <w:r>
        <w:rPr>
          <w:rFonts w:cs="Segoe UI"/>
          <w:szCs w:val="24"/>
        </w:rPr>
        <w:t xml:space="preserve"> Average Final Compensation (AFC) times the member’s years of service. Retirement defined benefits for Plan 3 are calculated using 1% of AFC times the member’s years of service. AFC is the monthly average of the member’s 60 consecutive highest-paid service credit months. TRS Plan 2/3 has no cap on years of service credit.</w:t>
      </w:r>
    </w:p>
    <w:p w14:paraId="1CAF37A3" w14:textId="77777777" w:rsidR="003132CB" w:rsidRDefault="003132CB" w:rsidP="003132CB">
      <w:pPr>
        <w:ind w:left="360"/>
        <w:rPr>
          <w:rFonts w:cs="Segoe UI"/>
          <w:szCs w:val="24"/>
        </w:rPr>
      </w:pPr>
    </w:p>
    <w:p w14:paraId="08F6335F" w14:textId="77777777" w:rsidR="003132CB" w:rsidRDefault="003132CB" w:rsidP="003132CB">
      <w:pPr>
        <w:ind w:left="360"/>
        <w:rPr>
          <w:rFonts w:cs="Segoe UI"/>
          <w:szCs w:val="24"/>
        </w:rPr>
      </w:pPr>
      <w:bookmarkStart w:id="9" w:name="_Hlk149292257"/>
      <w:r>
        <w:rPr>
          <w:rFonts w:cs="Segoe UI"/>
          <w:szCs w:val="24"/>
        </w:rPr>
        <w:lastRenderedPageBreak/>
        <w:t xml:space="preserve">Members are eligible for retirement with </w:t>
      </w:r>
      <w:proofErr w:type="gramStart"/>
      <w:r>
        <w:rPr>
          <w:rFonts w:cs="Segoe UI"/>
          <w:szCs w:val="24"/>
        </w:rPr>
        <w:t>a full</w:t>
      </w:r>
      <w:proofErr w:type="gramEnd"/>
      <w:r>
        <w:rPr>
          <w:rFonts w:cs="Segoe UI"/>
          <w:szCs w:val="24"/>
        </w:rPr>
        <w:t xml:space="preserve"> benefit at age 65 with at least five years of service credit. Retirement before age 65 is considered </w:t>
      </w:r>
      <w:proofErr w:type="gramStart"/>
      <w:r>
        <w:rPr>
          <w:rFonts w:cs="Segoe UI"/>
          <w:szCs w:val="24"/>
        </w:rPr>
        <w:t>an early</w:t>
      </w:r>
      <w:proofErr w:type="gramEnd"/>
      <w:r>
        <w:rPr>
          <w:rFonts w:cs="Segoe UI"/>
          <w:szCs w:val="24"/>
        </w:rPr>
        <w:t xml:space="preserve"> retirement. TRS Plan 2/3 members who have at least 20 years of service credit and are 55 years of age or older are eligible for early retirement with a reduced benefit. The benefit is reduced by a factor that varies according to age for each year before age 65. TRS Plan 2/3 retirement benefits are actuarially reduced to reflect the choice of a survivor benefit. </w:t>
      </w:r>
    </w:p>
    <w:p w14:paraId="681D7E1B" w14:textId="77777777" w:rsidR="003132CB" w:rsidRDefault="003132CB" w:rsidP="003132CB">
      <w:pPr>
        <w:ind w:left="360"/>
        <w:rPr>
          <w:rFonts w:cs="Segoe UI"/>
          <w:szCs w:val="24"/>
        </w:rPr>
      </w:pPr>
    </w:p>
    <w:p w14:paraId="4E7BAD4C" w14:textId="77777777" w:rsidR="003132CB" w:rsidRDefault="003132CB" w:rsidP="003132CB">
      <w:pPr>
        <w:ind w:left="360"/>
        <w:rPr>
          <w:rFonts w:cs="Segoe UI"/>
          <w:szCs w:val="24"/>
        </w:rPr>
      </w:pPr>
      <w:r>
        <w:rPr>
          <w:rFonts w:cs="Segoe UI"/>
          <w:szCs w:val="24"/>
        </w:rPr>
        <w:t>Other TRS Plan 2/3 benefits include a Cost-of-Living Adjustment (COLA) based on the Consumer Price Index, capped at 3% annually.</w:t>
      </w:r>
    </w:p>
    <w:p w14:paraId="79B40E21" w14:textId="77777777" w:rsidR="003132CB" w:rsidRDefault="003132CB" w:rsidP="003132CB">
      <w:pPr>
        <w:ind w:left="360"/>
        <w:rPr>
          <w:rFonts w:cs="Segoe UI"/>
          <w:szCs w:val="24"/>
        </w:rPr>
      </w:pPr>
    </w:p>
    <w:p w14:paraId="0B8EF9CF" w14:textId="77777777" w:rsidR="003132CB" w:rsidRDefault="003132CB" w:rsidP="003132CB">
      <w:pPr>
        <w:ind w:left="360"/>
        <w:rPr>
          <w:rFonts w:cs="Segoe UI"/>
          <w:szCs w:val="24"/>
        </w:rPr>
      </w:pPr>
      <w:bookmarkStart w:id="10" w:name="_Hlk149292507"/>
      <w:r>
        <w:rPr>
          <w:rFonts w:cs="Segoe UI"/>
          <w:szCs w:val="24"/>
        </w:rPr>
        <w:t xml:space="preserve">Annuities purchased with plan 3 defined contributions that are invested within </w:t>
      </w:r>
      <w:proofErr w:type="gramStart"/>
      <w:r>
        <w:rPr>
          <w:rFonts w:cs="Segoe UI"/>
          <w:szCs w:val="24"/>
        </w:rPr>
        <w:t>the WSIB</w:t>
      </w:r>
      <w:proofErr w:type="gramEnd"/>
      <w:r>
        <w:rPr>
          <w:rFonts w:cs="Segoe UI"/>
          <w:szCs w:val="24"/>
        </w:rPr>
        <w:t xml:space="preserve"> TAP are considered defined benefits. Plan 3 WSIB TAP annuities are actuarially reduced if a survivor benefit is chosen and TAP annuities include a COLA of 3% annually. </w:t>
      </w:r>
    </w:p>
    <w:p w14:paraId="07122A62" w14:textId="77777777" w:rsidR="003132CB" w:rsidRDefault="003132CB" w:rsidP="003132CB">
      <w:pPr>
        <w:ind w:left="360"/>
        <w:rPr>
          <w:rFonts w:cs="Segoe UI"/>
          <w:szCs w:val="24"/>
        </w:rPr>
      </w:pPr>
    </w:p>
    <w:p w14:paraId="5EF09D35" w14:textId="77777777" w:rsidR="003132CB" w:rsidRDefault="003132CB" w:rsidP="003132CB">
      <w:pPr>
        <w:ind w:left="360"/>
        <w:rPr>
          <w:rFonts w:cs="Segoe UI"/>
          <w:szCs w:val="24"/>
        </w:rPr>
      </w:pPr>
      <w:bookmarkStart w:id="11" w:name="_Hlk149292749"/>
      <w:r>
        <w:rPr>
          <w:rFonts w:cs="Segoe UI"/>
          <w:szCs w:val="24"/>
        </w:rPr>
        <w:t xml:space="preserve">TRS Plan 3 defined contribution benefits are totally dependent on employee contributions and investment earnings on those contributions. Members are eligible to withdraw their defined contribution upon separation. Members have multiple withdrawal options, including purchase of an annuity. </w:t>
      </w:r>
    </w:p>
    <w:bookmarkEnd w:id="8"/>
    <w:bookmarkEnd w:id="9"/>
    <w:bookmarkEnd w:id="10"/>
    <w:bookmarkEnd w:id="11"/>
    <w:p w14:paraId="4FCBEF84" w14:textId="77777777" w:rsidR="003132CB" w:rsidRPr="008A3298" w:rsidRDefault="003132CB" w:rsidP="003132CB">
      <w:pPr>
        <w:ind w:left="360"/>
        <w:rPr>
          <w:rFonts w:cs="Segoe UI"/>
          <w:bCs/>
          <w:szCs w:val="24"/>
        </w:rPr>
      </w:pPr>
    </w:p>
    <w:p w14:paraId="5DB07F0E" w14:textId="77777777" w:rsidR="003132CB" w:rsidRDefault="003132CB" w:rsidP="003132CB">
      <w:pPr>
        <w:ind w:left="360"/>
        <w:rPr>
          <w:rFonts w:cs="Segoe UI"/>
          <w:szCs w:val="24"/>
          <w:u w:val="single"/>
        </w:rPr>
      </w:pPr>
      <w:r>
        <w:rPr>
          <w:rFonts w:cs="Segoe UI"/>
          <w:szCs w:val="24"/>
          <w:u w:val="single"/>
        </w:rPr>
        <w:t>PERS Plan Information</w:t>
      </w:r>
    </w:p>
    <w:p w14:paraId="57072FB3" w14:textId="77777777" w:rsidR="003132CB" w:rsidRDefault="003132CB" w:rsidP="003132CB">
      <w:pPr>
        <w:ind w:left="360"/>
        <w:rPr>
          <w:rFonts w:cs="Segoe UI"/>
          <w:szCs w:val="24"/>
        </w:rPr>
      </w:pPr>
      <w:bookmarkStart w:id="12" w:name="_Hlk149296353"/>
      <w:r>
        <w:rPr>
          <w:rFonts w:cs="Segoe UI"/>
          <w:szCs w:val="24"/>
        </w:rPr>
        <w:t xml:space="preserve">PERS was established in 1947, and its retirement benefit provisions are contained in Chapters 41.34 and 41.40 RCW. PERS is a cost-sharing, multiple-employer retirement system. PERS Plan 1 provides retirement, disability, and death benefits. Retirement benefits are determined as 2% times the </w:t>
      </w:r>
      <w:proofErr w:type="gramStart"/>
      <w:r>
        <w:rPr>
          <w:rFonts w:cs="Segoe UI"/>
          <w:szCs w:val="24"/>
        </w:rPr>
        <w:t>member’s</w:t>
      </w:r>
      <w:proofErr w:type="gramEnd"/>
      <w:r>
        <w:rPr>
          <w:rFonts w:cs="Segoe UI"/>
          <w:szCs w:val="24"/>
        </w:rPr>
        <w:t xml:space="preserve"> Average Final Compensation (AFC) times the member’s years of services. AFC is the average of the </w:t>
      </w:r>
      <w:proofErr w:type="gramStart"/>
      <w:r>
        <w:rPr>
          <w:rFonts w:cs="Segoe UI"/>
          <w:szCs w:val="24"/>
        </w:rPr>
        <w:t>member’s</w:t>
      </w:r>
      <w:proofErr w:type="gramEnd"/>
      <w:r>
        <w:rPr>
          <w:rFonts w:cs="Segoe UI"/>
          <w:szCs w:val="24"/>
        </w:rPr>
        <w:t xml:space="preserve"> 24 highest consecutive service months. Members are eligible for retirement from active status at any age with at least 30 years of service, at age 55 with at least 25 years of service, or at age 60 with at least five years of service. </w:t>
      </w:r>
    </w:p>
    <w:p w14:paraId="49BDCA48" w14:textId="77777777" w:rsidR="003132CB" w:rsidRDefault="003132CB" w:rsidP="003132CB">
      <w:pPr>
        <w:ind w:left="360"/>
        <w:rPr>
          <w:rFonts w:cs="Segoe UI"/>
          <w:szCs w:val="24"/>
        </w:rPr>
      </w:pPr>
    </w:p>
    <w:p w14:paraId="11060759" w14:textId="77777777" w:rsidR="003132CB" w:rsidRDefault="003132CB" w:rsidP="003132CB">
      <w:pPr>
        <w:ind w:left="360"/>
        <w:rPr>
          <w:rFonts w:cs="Segoe UI"/>
          <w:szCs w:val="24"/>
        </w:rPr>
      </w:pPr>
      <w:r>
        <w:rPr>
          <w:rFonts w:cs="Segoe UI"/>
          <w:szCs w:val="24"/>
        </w:rPr>
        <w:t xml:space="preserve">PERS Plan 1 retirement benefits are actuarially reduced is a survivor benefit is chosen. Members retiring from inactive status before age 65 may also receive actuarially reduced benefits. Other benefits include an optional Cost-of-Living Adjustment (COLA). </w:t>
      </w:r>
    </w:p>
    <w:bookmarkEnd w:id="12"/>
    <w:p w14:paraId="2F5496FB" w14:textId="77777777" w:rsidR="003132CB" w:rsidRDefault="003132CB" w:rsidP="003132CB">
      <w:pPr>
        <w:ind w:left="360"/>
        <w:rPr>
          <w:rFonts w:cs="Segoe UI"/>
          <w:szCs w:val="24"/>
        </w:rPr>
      </w:pPr>
    </w:p>
    <w:p w14:paraId="5B30F71F" w14:textId="77777777" w:rsidR="003132CB" w:rsidRDefault="003132CB" w:rsidP="003132CB">
      <w:pPr>
        <w:ind w:left="360"/>
        <w:rPr>
          <w:rFonts w:cs="Segoe UI"/>
          <w:szCs w:val="24"/>
          <w:u w:val="single"/>
        </w:rPr>
      </w:pPr>
      <w:r>
        <w:rPr>
          <w:rFonts w:cs="Segoe UI"/>
          <w:szCs w:val="24"/>
          <w:u w:val="single"/>
        </w:rPr>
        <w:t>SERS Plan Information</w:t>
      </w:r>
    </w:p>
    <w:p w14:paraId="0085353C" w14:textId="77777777" w:rsidR="003132CB" w:rsidRDefault="003132CB" w:rsidP="003132CB">
      <w:pPr>
        <w:ind w:left="360"/>
        <w:rPr>
          <w:rFonts w:cs="Segoe UI"/>
          <w:szCs w:val="24"/>
        </w:rPr>
      </w:pPr>
      <w:bookmarkStart w:id="13" w:name="_Hlk149294587"/>
      <w:bookmarkStart w:id="14" w:name="_Hlk149294832"/>
      <w:r>
        <w:rPr>
          <w:rFonts w:cs="Segoe UI"/>
          <w:szCs w:val="24"/>
        </w:rPr>
        <w:t xml:space="preserve">SERS was established by the legislature in 1998, and the plan became effective in 2000. SERS retirement benefit provisions are established in Chapters 41.34 and 41.35 RCW. SERS members include classified employees of school districts and educational service districts. </w:t>
      </w:r>
    </w:p>
    <w:p w14:paraId="1157F187" w14:textId="77777777" w:rsidR="003132CB" w:rsidRDefault="003132CB" w:rsidP="003132CB">
      <w:pPr>
        <w:ind w:left="360"/>
        <w:rPr>
          <w:rFonts w:cs="Segoe UI"/>
          <w:szCs w:val="24"/>
        </w:rPr>
      </w:pPr>
      <w:r>
        <w:rPr>
          <w:rFonts w:cs="Segoe UI"/>
          <w:szCs w:val="24"/>
        </w:rPr>
        <w:t xml:space="preserve">SERS is a cost-sharing, multiemployer retirement system comprised of two separate plans for membership purposes. SERS Plan 2 is a defined benefit plan and SERS Plan 3 is a defined benefit plan with a defined contribution component. </w:t>
      </w:r>
    </w:p>
    <w:bookmarkEnd w:id="13"/>
    <w:p w14:paraId="75D97A65" w14:textId="77777777" w:rsidR="003132CB" w:rsidRDefault="003132CB" w:rsidP="003132CB">
      <w:pPr>
        <w:ind w:left="360"/>
        <w:rPr>
          <w:rFonts w:cs="Segoe UI"/>
          <w:szCs w:val="24"/>
        </w:rPr>
      </w:pPr>
    </w:p>
    <w:p w14:paraId="33395C6E" w14:textId="77777777" w:rsidR="003132CB" w:rsidRDefault="003132CB" w:rsidP="003132CB">
      <w:pPr>
        <w:ind w:left="360"/>
        <w:rPr>
          <w:rFonts w:cs="Segoe UI"/>
          <w:szCs w:val="24"/>
        </w:rPr>
      </w:pPr>
      <w:r>
        <w:rPr>
          <w:rFonts w:cs="Segoe UI"/>
          <w:szCs w:val="24"/>
        </w:rPr>
        <w:t xml:space="preserve">Although members can only be a member of either Plan 2 or Plan 3, the defined benefit portions of Plan 2 and Plan 3 are accounted for in the same pension trust fund. All assets of this Plan 2/3 defined benefit plan may legally be used to pay the defined benefits of any of </w:t>
      </w:r>
      <w:r>
        <w:rPr>
          <w:rFonts w:cs="Segoe UI"/>
          <w:szCs w:val="24"/>
        </w:rPr>
        <w:lastRenderedPageBreak/>
        <w:t>the Plan 2 or Plan 3 members or beneficiaries. Therefore, Plan 2/3 is a single plan for accounting purposes.</w:t>
      </w:r>
    </w:p>
    <w:bookmarkEnd w:id="14"/>
    <w:p w14:paraId="3A9BC134" w14:textId="77777777" w:rsidR="003132CB" w:rsidRDefault="003132CB" w:rsidP="003132CB">
      <w:pPr>
        <w:ind w:left="360"/>
        <w:rPr>
          <w:rFonts w:cs="Segoe UI"/>
          <w:szCs w:val="24"/>
        </w:rPr>
      </w:pPr>
    </w:p>
    <w:p w14:paraId="044FA82F" w14:textId="77777777" w:rsidR="003132CB" w:rsidRDefault="003132CB" w:rsidP="003132CB">
      <w:pPr>
        <w:ind w:left="360"/>
        <w:rPr>
          <w:rFonts w:cs="Segoe UI"/>
          <w:szCs w:val="24"/>
        </w:rPr>
      </w:pPr>
      <w:bookmarkStart w:id="15" w:name="_Hlk149295158"/>
      <w:r>
        <w:rPr>
          <w:rFonts w:cs="Segoe UI"/>
          <w:szCs w:val="24"/>
        </w:rPr>
        <w:t xml:space="preserve">SERS provides retirement, disability, and death benefits. Retirement benefits for Plan 2 are calculated as 2% </w:t>
      </w:r>
      <w:proofErr w:type="gramStart"/>
      <w:r>
        <w:rPr>
          <w:rFonts w:cs="Segoe UI"/>
          <w:szCs w:val="24"/>
        </w:rPr>
        <w:t>times</w:t>
      </w:r>
      <w:proofErr w:type="gramEnd"/>
      <w:r>
        <w:rPr>
          <w:rFonts w:cs="Segoe UI"/>
          <w:szCs w:val="24"/>
        </w:rPr>
        <w:t xml:space="preserve"> the </w:t>
      </w:r>
      <w:proofErr w:type="gramStart"/>
      <w:r>
        <w:rPr>
          <w:rFonts w:cs="Segoe UI"/>
          <w:szCs w:val="24"/>
        </w:rPr>
        <w:t>member’s</w:t>
      </w:r>
      <w:proofErr w:type="gramEnd"/>
      <w:r>
        <w:rPr>
          <w:rFonts w:cs="Segoe UI"/>
          <w:szCs w:val="24"/>
        </w:rPr>
        <w:t xml:space="preserve"> Average Final Compensation (AFC) times the </w:t>
      </w:r>
      <w:proofErr w:type="gramStart"/>
      <w:r>
        <w:rPr>
          <w:rFonts w:cs="Segoe UI"/>
          <w:szCs w:val="24"/>
        </w:rPr>
        <w:t>member’s</w:t>
      </w:r>
      <w:proofErr w:type="gramEnd"/>
      <w:r>
        <w:rPr>
          <w:rFonts w:cs="Segoe UI"/>
          <w:szCs w:val="24"/>
        </w:rPr>
        <w:t xml:space="preserve"> years of service. Defined benefits for Plan 3 are calculated using 1% </w:t>
      </w:r>
      <w:proofErr w:type="gramStart"/>
      <w:r>
        <w:rPr>
          <w:rFonts w:cs="Segoe UI"/>
          <w:szCs w:val="24"/>
        </w:rPr>
        <w:t>times</w:t>
      </w:r>
      <w:proofErr w:type="gramEnd"/>
      <w:r>
        <w:rPr>
          <w:rFonts w:cs="Segoe UI"/>
          <w:szCs w:val="24"/>
        </w:rPr>
        <w:t xml:space="preserve"> the member’s AFC times the member’s years of service. AFC is the monthly average of the member’s 60 consecutive highest-paid service credit months.</w:t>
      </w:r>
    </w:p>
    <w:p w14:paraId="7EF3C0B4" w14:textId="77777777" w:rsidR="003132CB" w:rsidRDefault="003132CB" w:rsidP="003132CB">
      <w:pPr>
        <w:ind w:left="360"/>
        <w:rPr>
          <w:rFonts w:cs="Segoe UI"/>
          <w:szCs w:val="24"/>
        </w:rPr>
      </w:pPr>
    </w:p>
    <w:p w14:paraId="6834AAFB" w14:textId="216D734F" w:rsidR="003132CB" w:rsidRDefault="003132CB" w:rsidP="003132CB">
      <w:pPr>
        <w:ind w:left="360"/>
        <w:rPr>
          <w:rFonts w:cs="Segoe UI"/>
          <w:szCs w:val="24"/>
        </w:rPr>
      </w:pPr>
      <w:r>
        <w:rPr>
          <w:rFonts w:cs="Segoe UI"/>
          <w:szCs w:val="24"/>
        </w:rPr>
        <w:t xml:space="preserve">Members are eligible for retirement with </w:t>
      </w:r>
      <w:proofErr w:type="gramStart"/>
      <w:r>
        <w:rPr>
          <w:rFonts w:cs="Segoe UI"/>
          <w:szCs w:val="24"/>
        </w:rPr>
        <w:t>a full</w:t>
      </w:r>
      <w:proofErr w:type="gramEnd"/>
      <w:r>
        <w:rPr>
          <w:rFonts w:cs="Segoe UI"/>
          <w:szCs w:val="24"/>
        </w:rPr>
        <w:t xml:space="preserve"> benefit at age 65 with at least five years of service credit. Retirement before age 65 is considered </w:t>
      </w:r>
      <w:proofErr w:type="gramStart"/>
      <w:r>
        <w:rPr>
          <w:rFonts w:cs="Segoe UI"/>
          <w:szCs w:val="24"/>
        </w:rPr>
        <w:t>an early</w:t>
      </w:r>
      <w:proofErr w:type="gramEnd"/>
      <w:r>
        <w:rPr>
          <w:rFonts w:cs="Segoe UI"/>
          <w:szCs w:val="24"/>
        </w:rPr>
        <w:t xml:space="preserve"> retirement. SERS members who have at least 20 years of service credit and are 55 years of age or older are eligible for early retirement with a reduced benefit. The benefit is reduced by a factor that varies according to age for each year before age 65. </w:t>
      </w:r>
    </w:p>
    <w:p w14:paraId="4790471C" w14:textId="77777777" w:rsidR="003132CB" w:rsidRPr="009A59D9" w:rsidRDefault="003132CB" w:rsidP="003132CB">
      <w:pPr>
        <w:ind w:left="360"/>
        <w:rPr>
          <w:rFonts w:cs="Segoe UI"/>
          <w:sz w:val="16"/>
          <w:szCs w:val="18"/>
        </w:rPr>
      </w:pPr>
    </w:p>
    <w:p w14:paraId="0504D48B" w14:textId="77777777" w:rsidR="003132CB" w:rsidRDefault="003132CB" w:rsidP="003132CB">
      <w:pPr>
        <w:ind w:left="360"/>
        <w:rPr>
          <w:rFonts w:cs="Segoe UI"/>
          <w:szCs w:val="24"/>
        </w:rPr>
      </w:pPr>
      <w:r>
        <w:rPr>
          <w:rFonts w:cs="Segoe UI"/>
          <w:szCs w:val="24"/>
        </w:rPr>
        <w:t>SERS Plan 2/3 retirement benefits are actuarially reduced if a survivor benefit is chosen.</w:t>
      </w:r>
    </w:p>
    <w:p w14:paraId="255A8408" w14:textId="77777777" w:rsidR="003132CB" w:rsidRPr="009A59D9" w:rsidRDefault="003132CB" w:rsidP="003132CB">
      <w:pPr>
        <w:ind w:left="360"/>
        <w:rPr>
          <w:rFonts w:cs="Segoe UI"/>
          <w:sz w:val="16"/>
          <w:szCs w:val="18"/>
        </w:rPr>
      </w:pPr>
    </w:p>
    <w:p w14:paraId="1C87EED7" w14:textId="77777777" w:rsidR="003132CB" w:rsidRDefault="003132CB" w:rsidP="003132CB">
      <w:pPr>
        <w:ind w:left="360"/>
        <w:rPr>
          <w:rFonts w:cs="Segoe UI"/>
          <w:szCs w:val="24"/>
        </w:rPr>
      </w:pPr>
      <w:r>
        <w:rPr>
          <w:rFonts w:cs="Segoe UI"/>
          <w:szCs w:val="24"/>
        </w:rPr>
        <w:t xml:space="preserve">Other SERS Plan 2/3 benefits include a Cost-of-Living Adjustment (COLA) based on the Consumer Price Index, capped at 3% annually. </w:t>
      </w:r>
    </w:p>
    <w:p w14:paraId="25E26FF8" w14:textId="77777777" w:rsidR="003132CB" w:rsidRDefault="003132CB" w:rsidP="003132CB">
      <w:pPr>
        <w:ind w:left="360"/>
        <w:rPr>
          <w:rFonts w:cs="Segoe UI"/>
          <w:szCs w:val="24"/>
        </w:rPr>
      </w:pPr>
    </w:p>
    <w:p w14:paraId="7AEE49F8" w14:textId="23864159" w:rsidR="003132CB" w:rsidRDefault="003132CB" w:rsidP="003132CB">
      <w:pPr>
        <w:ind w:left="360"/>
        <w:rPr>
          <w:rFonts w:cs="Segoe UI"/>
          <w:szCs w:val="24"/>
        </w:rPr>
      </w:pPr>
      <w:r>
        <w:rPr>
          <w:rFonts w:cs="Segoe UI"/>
          <w:szCs w:val="24"/>
        </w:rPr>
        <w:t xml:space="preserve">SERS 3 defined contributions benefits are totally dependent on employee contributions and the investment earnings on those contributions. Annuities purchased with plan 3 defined contributions that are invested within </w:t>
      </w:r>
      <w:proofErr w:type="gramStart"/>
      <w:r>
        <w:rPr>
          <w:rFonts w:cs="Segoe UI"/>
          <w:szCs w:val="24"/>
        </w:rPr>
        <w:t>the WSIB</w:t>
      </w:r>
      <w:proofErr w:type="gramEnd"/>
      <w:r>
        <w:rPr>
          <w:rFonts w:cs="Segoe UI"/>
          <w:szCs w:val="24"/>
        </w:rPr>
        <w:t xml:space="preserve"> TAP are considered defined benefits. Plan 3 WSIB TAP annuities are actuarially reduced if a survivor benefit is chosen and TAP annuities include a</w:t>
      </w:r>
      <w:r w:rsidR="006526A8">
        <w:rPr>
          <w:rFonts w:cs="Segoe UI"/>
          <w:szCs w:val="24"/>
        </w:rPr>
        <w:t xml:space="preserve"> COLA of</w:t>
      </w:r>
      <w:r>
        <w:rPr>
          <w:rFonts w:cs="Segoe UI"/>
          <w:szCs w:val="24"/>
        </w:rPr>
        <w:t xml:space="preserve"> 3% annually.</w:t>
      </w:r>
    </w:p>
    <w:bookmarkEnd w:id="15"/>
    <w:p w14:paraId="229896DF" w14:textId="77777777" w:rsidR="003132CB" w:rsidRDefault="003132CB" w:rsidP="003132CB">
      <w:pPr>
        <w:ind w:left="360"/>
        <w:rPr>
          <w:rFonts w:cs="Segoe UI"/>
          <w:szCs w:val="24"/>
        </w:rPr>
      </w:pPr>
    </w:p>
    <w:p w14:paraId="52E0B284" w14:textId="77777777" w:rsidR="003132CB" w:rsidRDefault="003132CB" w:rsidP="003132CB">
      <w:pPr>
        <w:pStyle w:val="Heading2"/>
      </w:pPr>
      <w:r>
        <w:t>Plan Contributions</w:t>
      </w:r>
    </w:p>
    <w:p w14:paraId="112D5310" w14:textId="77777777" w:rsidR="003132CB" w:rsidRPr="009A59D9" w:rsidRDefault="003132CB" w:rsidP="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 w:val="18"/>
          <w:szCs w:val="18"/>
        </w:rPr>
      </w:pPr>
    </w:p>
    <w:p w14:paraId="12D84FE0" w14:textId="77777777" w:rsidR="003132CB" w:rsidRDefault="003132CB" w:rsidP="003132CB">
      <w:r>
        <w:t xml:space="preserve">The employer contribution rates for PERS, TRS, and SERS (Plans 1, 2, and 3) and the TRS and SERS Plan 2 employee contribution rates are established by the Pension Funding Council based upon the rates set by the Legislature. </w:t>
      </w:r>
      <w:bookmarkStart w:id="16" w:name="_Hlk149729006"/>
      <w:r>
        <w:t>The methods used to determine the contribution requirements are established under state statue in accordance with Chapters 41.40 and 41.45 RCW for PERS, Chapters 41.35 and 41.45 RCW for SERS, and Chapters 41.32 and 41.45 RCW for TRS</w:t>
      </w:r>
      <w:bookmarkEnd w:id="16"/>
      <w:r>
        <w:t xml:space="preserve">. Employers do not contribute to the defined contribution portions of TRS Plan 3 or SERS Plan 3. Under current law the employer must contribute 100 percent of the employer-required contribution. The employee contribution rate for Plan 1 in PERS and TRS is set by statute at six percent and does not vary from year to year. </w:t>
      </w:r>
    </w:p>
    <w:p w14:paraId="0F7D0DA8" w14:textId="77777777" w:rsidR="003132CB" w:rsidRPr="009A59D9" w:rsidRDefault="003132CB" w:rsidP="003132CB">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 w:val="10"/>
          <w:szCs w:val="10"/>
        </w:rPr>
      </w:pPr>
    </w:p>
    <w:p w14:paraId="4B81B23C" w14:textId="3A4E9AF8" w:rsidR="003132CB" w:rsidRDefault="003132CB" w:rsidP="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Pr>
          <w:rFonts w:cs="Segoe UI"/>
          <w:szCs w:val="24"/>
        </w:rPr>
        <w:t xml:space="preserve">The employer and employee contribution rates for </w:t>
      </w:r>
      <w:r w:rsidR="00A36BBF">
        <w:rPr>
          <w:rFonts w:cs="Segoe UI"/>
          <w:szCs w:val="24"/>
        </w:rPr>
        <w:t>most</w:t>
      </w:r>
      <w:r>
        <w:rPr>
          <w:rFonts w:cs="Segoe UI"/>
          <w:szCs w:val="24"/>
        </w:rPr>
        <w:t xml:space="preserve"> plans were effective as of September 1, 202</w:t>
      </w:r>
      <w:r w:rsidR="00A36BBF">
        <w:rPr>
          <w:rFonts w:cs="Segoe UI"/>
          <w:szCs w:val="24"/>
        </w:rPr>
        <w:t>5</w:t>
      </w:r>
      <w:r>
        <w:rPr>
          <w:rFonts w:cs="Segoe UI"/>
          <w:szCs w:val="24"/>
        </w:rPr>
        <w:t>. PERS contribution rates changed on July 1, 202</w:t>
      </w:r>
      <w:r w:rsidR="00283E32">
        <w:rPr>
          <w:rFonts w:cs="Segoe UI"/>
          <w:szCs w:val="24"/>
        </w:rPr>
        <w:t>5</w:t>
      </w:r>
      <w:r>
        <w:rPr>
          <w:rFonts w:cs="Segoe UI"/>
          <w:szCs w:val="24"/>
        </w:rPr>
        <w:t>. The pension plan contribution rates (expressed as a percentage of covered payroll) for fiscal year 202</w:t>
      </w:r>
      <w:r w:rsidR="00283E32">
        <w:rPr>
          <w:rFonts w:cs="Segoe UI"/>
          <w:szCs w:val="24"/>
        </w:rPr>
        <w:t>6</w:t>
      </w:r>
      <w:r>
        <w:rPr>
          <w:rFonts w:cs="Segoe UI"/>
          <w:szCs w:val="24"/>
        </w:rPr>
        <w:t xml:space="preserve"> are listed below: </w:t>
      </w:r>
    </w:p>
    <w:p w14:paraId="499F7738" w14:textId="77777777" w:rsidR="003132CB" w:rsidRDefault="003132CB" w:rsidP="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bl>
      <w:tblPr>
        <w:tblStyle w:val="TableGrid"/>
        <w:tblW w:w="9480" w:type="dxa"/>
        <w:tblLayout w:type="fixed"/>
        <w:tblLook w:val="04A0" w:firstRow="1" w:lastRow="0" w:firstColumn="1" w:lastColumn="0" w:noHBand="0" w:noVBand="1"/>
      </w:tblPr>
      <w:tblGrid>
        <w:gridCol w:w="1478"/>
        <w:gridCol w:w="1881"/>
        <w:gridCol w:w="1881"/>
        <w:gridCol w:w="1881"/>
        <w:gridCol w:w="1881"/>
        <w:gridCol w:w="478"/>
      </w:tblGrid>
      <w:tr w:rsidR="003132CB" w14:paraId="4B5088AB" w14:textId="77777777" w:rsidTr="00672ACB">
        <w:trPr>
          <w:trHeight w:val="645"/>
          <w:tblHeader/>
        </w:trPr>
        <w:tc>
          <w:tcPr>
            <w:tcW w:w="1478" w:type="dxa"/>
            <w:tcBorders>
              <w:top w:val="single" w:sz="4" w:space="0" w:color="auto"/>
              <w:left w:val="single" w:sz="4" w:space="0" w:color="auto"/>
              <w:bottom w:val="single" w:sz="4" w:space="0" w:color="auto"/>
              <w:right w:val="single" w:sz="4" w:space="0" w:color="auto"/>
            </w:tcBorders>
            <w:vAlign w:val="center"/>
          </w:tcPr>
          <w:p w14:paraId="05AD8DDE" w14:textId="77777777" w:rsidR="003132CB" w:rsidRDefault="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p>
        </w:tc>
        <w:tc>
          <w:tcPr>
            <w:tcW w:w="1881" w:type="dxa"/>
            <w:tcBorders>
              <w:top w:val="single" w:sz="4" w:space="0" w:color="auto"/>
              <w:left w:val="single" w:sz="4" w:space="0" w:color="auto"/>
              <w:bottom w:val="single" w:sz="4" w:space="0" w:color="auto"/>
              <w:right w:val="single" w:sz="4" w:space="0" w:color="auto"/>
            </w:tcBorders>
            <w:vAlign w:val="center"/>
            <w:hideMark/>
          </w:tcPr>
          <w:p w14:paraId="6E282E0D" w14:textId="77777777" w:rsidR="003132CB" w:rsidRDefault="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Pr>
                <w:rFonts w:cs="Segoe UI"/>
                <w:b/>
                <w:bCs/>
                <w:szCs w:val="22"/>
              </w:rPr>
              <w:t>From this date</w:t>
            </w:r>
          </w:p>
        </w:tc>
        <w:tc>
          <w:tcPr>
            <w:tcW w:w="1881" w:type="dxa"/>
            <w:tcBorders>
              <w:top w:val="single" w:sz="4" w:space="0" w:color="auto"/>
              <w:left w:val="single" w:sz="4" w:space="0" w:color="auto"/>
              <w:bottom w:val="single" w:sz="4" w:space="0" w:color="auto"/>
              <w:right w:val="single" w:sz="4" w:space="0" w:color="auto"/>
            </w:tcBorders>
            <w:vAlign w:val="center"/>
            <w:hideMark/>
          </w:tcPr>
          <w:p w14:paraId="167B8F9A" w14:textId="77777777" w:rsidR="003132CB" w:rsidRDefault="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Pr>
                <w:rFonts w:cs="Segoe UI"/>
                <w:b/>
                <w:bCs/>
                <w:szCs w:val="22"/>
              </w:rPr>
              <w:t>Through this date</w:t>
            </w:r>
          </w:p>
        </w:tc>
        <w:tc>
          <w:tcPr>
            <w:tcW w:w="1881" w:type="dxa"/>
            <w:tcBorders>
              <w:top w:val="single" w:sz="4" w:space="0" w:color="auto"/>
              <w:left w:val="single" w:sz="4" w:space="0" w:color="auto"/>
              <w:bottom w:val="single" w:sz="4" w:space="0" w:color="auto"/>
              <w:right w:val="single" w:sz="4" w:space="0" w:color="auto"/>
            </w:tcBorders>
            <w:vAlign w:val="center"/>
            <w:hideMark/>
          </w:tcPr>
          <w:p w14:paraId="1D40C98F" w14:textId="77777777" w:rsidR="003132CB" w:rsidRDefault="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Pr>
                <w:rFonts w:cs="Segoe UI"/>
                <w:b/>
                <w:bCs/>
                <w:szCs w:val="22"/>
              </w:rPr>
              <w:t>Member rate</w:t>
            </w:r>
          </w:p>
        </w:tc>
        <w:tc>
          <w:tcPr>
            <w:tcW w:w="1881" w:type="dxa"/>
            <w:tcBorders>
              <w:top w:val="single" w:sz="4" w:space="0" w:color="auto"/>
              <w:left w:val="single" w:sz="4" w:space="0" w:color="auto"/>
              <w:bottom w:val="single" w:sz="4" w:space="0" w:color="auto"/>
              <w:right w:val="single" w:sz="4" w:space="0" w:color="auto"/>
            </w:tcBorders>
            <w:vAlign w:val="center"/>
            <w:hideMark/>
          </w:tcPr>
          <w:p w14:paraId="598138C8" w14:textId="77777777" w:rsidR="003132CB" w:rsidRDefault="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Pr>
                <w:rFonts w:cs="Segoe UI"/>
                <w:b/>
                <w:bCs/>
                <w:szCs w:val="22"/>
              </w:rPr>
              <w:t>Employer rate</w:t>
            </w:r>
          </w:p>
        </w:tc>
        <w:tc>
          <w:tcPr>
            <w:tcW w:w="478" w:type="dxa"/>
            <w:tcBorders>
              <w:top w:val="single" w:sz="4" w:space="0" w:color="auto"/>
              <w:left w:val="single" w:sz="4" w:space="0" w:color="auto"/>
              <w:bottom w:val="single" w:sz="4" w:space="0" w:color="auto"/>
              <w:right w:val="single" w:sz="4" w:space="0" w:color="auto"/>
            </w:tcBorders>
            <w:vAlign w:val="center"/>
          </w:tcPr>
          <w:p w14:paraId="4D6C3596" w14:textId="77777777" w:rsidR="003132CB" w:rsidRDefault="003132CB" w:rsidP="00081CEE">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2"/>
              </w:rPr>
            </w:pPr>
          </w:p>
        </w:tc>
      </w:tr>
      <w:tr w:rsidR="00672ACB" w14:paraId="630A93B1" w14:textId="77777777" w:rsidTr="0006082E">
        <w:trPr>
          <w:trHeight w:val="432"/>
        </w:trPr>
        <w:tc>
          <w:tcPr>
            <w:tcW w:w="1478" w:type="dxa"/>
            <w:tcBorders>
              <w:top w:val="single" w:sz="4" w:space="0" w:color="auto"/>
              <w:left w:val="single" w:sz="4" w:space="0" w:color="auto"/>
              <w:bottom w:val="single" w:sz="4" w:space="0" w:color="auto"/>
              <w:right w:val="single" w:sz="4" w:space="0" w:color="auto"/>
            </w:tcBorders>
            <w:vAlign w:val="center"/>
            <w:hideMark/>
          </w:tcPr>
          <w:p w14:paraId="58381CF0" w14:textId="77777777"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PERS 1</w:t>
            </w:r>
          </w:p>
        </w:tc>
        <w:tc>
          <w:tcPr>
            <w:tcW w:w="1881" w:type="dxa"/>
            <w:tcBorders>
              <w:top w:val="single" w:sz="4" w:space="0" w:color="auto"/>
              <w:left w:val="single" w:sz="4" w:space="0" w:color="auto"/>
              <w:bottom w:val="single" w:sz="4" w:space="0" w:color="auto"/>
              <w:right w:val="single" w:sz="4" w:space="0" w:color="auto"/>
            </w:tcBorders>
            <w:vAlign w:val="center"/>
          </w:tcPr>
          <w:p w14:paraId="7BBB0B09" w14:textId="391E249D"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7/1/202</w:t>
            </w:r>
            <w:r w:rsidR="002220F6">
              <w:rPr>
                <w:rFonts w:cs="Segoe UI"/>
                <w:color w:val="000000"/>
                <w:szCs w:val="22"/>
              </w:rPr>
              <w:t>5</w:t>
            </w:r>
          </w:p>
        </w:tc>
        <w:tc>
          <w:tcPr>
            <w:tcW w:w="1881" w:type="dxa"/>
            <w:tcBorders>
              <w:top w:val="single" w:sz="4" w:space="0" w:color="auto"/>
              <w:left w:val="single" w:sz="4" w:space="0" w:color="auto"/>
              <w:bottom w:val="single" w:sz="4" w:space="0" w:color="auto"/>
              <w:right w:val="single" w:sz="4" w:space="0" w:color="auto"/>
            </w:tcBorders>
            <w:vAlign w:val="center"/>
          </w:tcPr>
          <w:p w14:paraId="51A34F08" w14:textId="1765324E"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w:t>
            </w:r>
            <w:r w:rsidR="00283E32" w:rsidRPr="00805709">
              <w:rPr>
                <w:rFonts w:cs="Segoe UI"/>
                <w:color w:val="000000"/>
                <w:szCs w:val="22"/>
              </w:rPr>
              <w:t>202</w:t>
            </w:r>
            <w:r w:rsidR="00283E32">
              <w:rPr>
                <w:rFonts w:cs="Segoe UI"/>
                <w:color w:val="000000"/>
                <w:szCs w:val="22"/>
              </w:rPr>
              <w:t>6</w:t>
            </w:r>
          </w:p>
        </w:tc>
        <w:tc>
          <w:tcPr>
            <w:tcW w:w="1881" w:type="dxa"/>
            <w:tcBorders>
              <w:top w:val="single" w:sz="4" w:space="0" w:color="auto"/>
              <w:left w:val="single" w:sz="4" w:space="0" w:color="auto"/>
              <w:bottom w:val="single" w:sz="4" w:space="0" w:color="auto"/>
              <w:right w:val="single" w:sz="4" w:space="0" w:color="auto"/>
            </w:tcBorders>
            <w:vAlign w:val="center"/>
          </w:tcPr>
          <w:p w14:paraId="011BBC01" w14:textId="48657EA2"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6.00%</w:t>
            </w:r>
          </w:p>
        </w:tc>
        <w:tc>
          <w:tcPr>
            <w:tcW w:w="1881" w:type="dxa"/>
            <w:tcBorders>
              <w:top w:val="single" w:sz="4" w:space="0" w:color="auto"/>
              <w:left w:val="single" w:sz="4" w:space="0" w:color="auto"/>
              <w:bottom w:val="single" w:sz="4" w:space="0" w:color="auto"/>
              <w:right w:val="single" w:sz="4" w:space="0" w:color="auto"/>
            </w:tcBorders>
            <w:vAlign w:val="center"/>
          </w:tcPr>
          <w:p w14:paraId="20081A87" w14:textId="546F73AD" w:rsidR="00672ACB" w:rsidRDefault="002220F6"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5.58</w:t>
            </w:r>
            <w:r w:rsidR="00672ACB" w:rsidRPr="00805709">
              <w:rPr>
                <w:rFonts w:cs="Segoe UI"/>
                <w:color w:val="000000"/>
                <w:szCs w:val="22"/>
              </w:rPr>
              <w:t>%</w:t>
            </w:r>
          </w:p>
        </w:tc>
        <w:tc>
          <w:tcPr>
            <w:tcW w:w="478" w:type="dxa"/>
            <w:tcBorders>
              <w:top w:val="single" w:sz="4" w:space="0" w:color="auto"/>
              <w:left w:val="single" w:sz="4" w:space="0" w:color="auto"/>
              <w:bottom w:val="single" w:sz="4" w:space="0" w:color="auto"/>
              <w:right w:val="single" w:sz="4" w:space="0" w:color="auto"/>
            </w:tcBorders>
            <w:vAlign w:val="center"/>
          </w:tcPr>
          <w:p w14:paraId="71EE6E4E" w14:textId="77777777"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color w:val="000000"/>
                <w:szCs w:val="22"/>
              </w:rPr>
            </w:pPr>
          </w:p>
        </w:tc>
      </w:tr>
      <w:tr w:rsidR="00286418" w14:paraId="27279530" w14:textId="77777777" w:rsidTr="0006082E">
        <w:trPr>
          <w:trHeight w:val="432"/>
        </w:trPr>
        <w:tc>
          <w:tcPr>
            <w:tcW w:w="1478" w:type="dxa"/>
            <w:tcBorders>
              <w:top w:val="single" w:sz="4" w:space="0" w:color="auto"/>
              <w:left w:val="single" w:sz="4" w:space="0" w:color="auto"/>
              <w:bottom w:val="single" w:sz="4" w:space="0" w:color="auto"/>
              <w:right w:val="single" w:sz="4" w:space="0" w:color="auto"/>
            </w:tcBorders>
            <w:vAlign w:val="center"/>
          </w:tcPr>
          <w:p w14:paraId="6A7350C2" w14:textId="5F1097C0" w:rsidR="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TRS 1</w:t>
            </w:r>
          </w:p>
        </w:tc>
        <w:tc>
          <w:tcPr>
            <w:tcW w:w="1881" w:type="dxa"/>
            <w:tcBorders>
              <w:top w:val="single" w:sz="4" w:space="0" w:color="auto"/>
              <w:left w:val="single" w:sz="4" w:space="0" w:color="auto"/>
              <w:bottom w:val="single" w:sz="4" w:space="0" w:color="auto"/>
              <w:right w:val="single" w:sz="4" w:space="0" w:color="auto"/>
            </w:tcBorders>
            <w:vAlign w:val="center"/>
          </w:tcPr>
          <w:p w14:paraId="64EE229A" w14:textId="1A9A94F7" w:rsidR="00286418" w:rsidRPr="00805709"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Pr>
                <w:rFonts w:cs="Segoe UI"/>
                <w:color w:val="000000"/>
                <w:szCs w:val="22"/>
              </w:rPr>
              <w:t>5</w:t>
            </w:r>
          </w:p>
        </w:tc>
        <w:tc>
          <w:tcPr>
            <w:tcW w:w="1881" w:type="dxa"/>
            <w:tcBorders>
              <w:top w:val="single" w:sz="4" w:space="0" w:color="auto"/>
              <w:left w:val="single" w:sz="4" w:space="0" w:color="auto"/>
              <w:bottom w:val="single" w:sz="4" w:space="0" w:color="auto"/>
              <w:right w:val="single" w:sz="4" w:space="0" w:color="auto"/>
            </w:tcBorders>
            <w:vAlign w:val="center"/>
          </w:tcPr>
          <w:p w14:paraId="1EB25F04" w14:textId="37519701" w:rsidR="00286418" w:rsidRPr="00805709"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Pr>
                <w:rFonts w:cs="Segoe UI"/>
                <w:color w:val="000000"/>
                <w:szCs w:val="22"/>
              </w:rPr>
              <w:t>6</w:t>
            </w:r>
          </w:p>
        </w:tc>
        <w:tc>
          <w:tcPr>
            <w:tcW w:w="1881" w:type="dxa"/>
            <w:tcBorders>
              <w:top w:val="single" w:sz="4" w:space="0" w:color="auto"/>
              <w:left w:val="single" w:sz="4" w:space="0" w:color="auto"/>
              <w:bottom w:val="single" w:sz="4" w:space="0" w:color="auto"/>
              <w:right w:val="single" w:sz="4" w:space="0" w:color="auto"/>
            </w:tcBorders>
            <w:vAlign w:val="center"/>
          </w:tcPr>
          <w:p w14:paraId="3BF3D39A" w14:textId="501AE1F2" w:rsidR="00286418" w:rsidRPr="00805709" w:rsidDel="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6.00%</w:t>
            </w:r>
          </w:p>
        </w:tc>
        <w:tc>
          <w:tcPr>
            <w:tcW w:w="1881" w:type="dxa"/>
            <w:tcBorders>
              <w:top w:val="single" w:sz="4" w:space="0" w:color="auto"/>
              <w:left w:val="single" w:sz="4" w:space="0" w:color="auto"/>
              <w:bottom w:val="single" w:sz="4" w:space="0" w:color="auto"/>
              <w:right w:val="single" w:sz="4" w:space="0" w:color="auto"/>
            </w:tcBorders>
            <w:vAlign w:val="center"/>
          </w:tcPr>
          <w:p w14:paraId="140988CC" w14:textId="6F5B7EBC" w:rsidR="00286418" w:rsidDel="00283E32"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7.74</w:t>
            </w:r>
            <w:r w:rsidRPr="00805709">
              <w:rPr>
                <w:rFonts w:cs="Segoe UI"/>
                <w:color w:val="000000"/>
                <w:szCs w:val="22"/>
              </w:rPr>
              <w:t>%</w:t>
            </w:r>
          </w:p>
        </w:tc>
        <w:tc>
          <w:tcPr>
            <w:tcW w:w="478" w:type="dxa"/>
            <w:tcBorders>
              <w:top w:val="single" w:sz="4" w:space="0" w:color="auto"/>
              <w:left w:val="single" w:sz="4" w:space="0" w:color="auto"/>
              <w:bottom w:val="single" w:sz="4" w:space="0" w:color="auto"/>
              <w:right w:val="single" w:sz="4" w:space="0" w:color="auto"/>
            </w:tcBorders>
            <w:vAlign w:val="center"/>
          </w:tcPr>
          <w:p w14:paraId="4CD1C962" w14:textId="77777777" w:rsidR="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2"/>
              </w:rPr>
            </w:pPr>
          </w:p>
        </w:tc>
      </w:tr>
      <w:tr w:rsidR="00286418" w14:paraId="46793072" w14:textId="77777777" w:rsidTr="0006082E">
        <w:trPr>
          <w:trHeight w:val="432"/>
        </w:trPr>
        <w:tc>
          <w:tcPr>
            <w:tcW w:w="1478" w:type="dxa"/>
            <w:tcBorders>
              <w:top w:val="single" w:sz="4" w:space="0" w:color="auto"/>
              <w:left w:val="single" w:sz="4" w:space="0" w:color="auto"/>
              <w:bottom w:val="single" w:sz="4" w:space="0" w:color="auto"/>
              <w:right w:val="single" w:sz="4" w:space="0" w:color="auto"/>
            </w:tcBorders>
            <w:vAlign w:val="center"/>
          </w:tcPr>
          <w:p w14:paraId="1800ABBC" w14:textId="634D46DC" w:rsidR="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TRS 2</w:t>
            </w:r>
          </w:p>
        </w:tc>
        <w:tc>
          <w:tcPr>
            <w:tcW w:w="1881" w:type="dxa"/>
            <w:tcBorders>
              <w:top w:val="single" w:sz="4" w:space="0" w:color="auto"/>
              <w:left w:val="single" w:sz="4" w:space="0" w:color="auto"/>
              <w:bottom w:val="single" w:sz="4" w:space="0" w:color="auto"/>
              <w:right w:val="single" w:sz="4" w:space="0" w:color="auto"/>
            </w:tcBorders>
            <w:vAlign w:val="center"/>
          </w:tcPr>
          <w:p w14:paraId="6CC91C5E" w14:textId="26A455DE" w:rsidR="00286418" w:rsidRPr="00805709"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Pr>
                <w:rFonts w:cs="Segoe UI"/>
                <w:color w:val="000000"/>
                <w:szCs w:val="22"/>
              </w:rPr>
              <w:t>5</w:t>
            </w:r>
          </w:p>
        </w:tc>
        <w:tc>
          <w:tcPr>
            <w:tcW w:w="1881" w:type="dxa"/>
            <w:tcBorders>
              <w:top w:val="single" w:sz="4" w:space="0" w:color="auto"/>
              <w:left w:val="single" w:sz="4" w:space="0" w:color="auto"/>
              <w:bottom w:val="single" w:sz="4" w:space="0" w:color="auto"/>
              <w:right w:val="single" w:sz="4" w:space="0" w:color="auto"/>
            </w:tcBorders>
            <w:vAlign w:val="center"/>
          </w:tcPr>
          <w:p w14:paraId="7A523084" w14:textId="097EE75D" w:rsidR="00286418" w:rsidRPr="00805709"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Pr>
                <w:rFonts w:cs="Segoe UI"/>
                <w:color w:val="000000"/>
                <w:szCs w:val="22"/>
              </w:rPr>
              <w:t>6</w:t>
            </w:r>
          </w:p>
        </w:tc>
        <w:tc>
          <w:tcPr>
            <w:tcW w:w="1881" w:type="dxa"/>
            <w:tcBorders>
              <w:top w:val="single" w:sz="4" w:space="0" w:color="auto"/>
              <w:left w:val="single" w:sz="4" w:space="0" w:color="auto"/>
              <w:bottom w:val="single" w:sz="4" w:space="0" w:color="auto"/>
              <w:right w:val="single" w:sz="4" w:space="0" w:color="auto"/>
            </w:tcBorders>
            <w:vAlign w:val="center"/>
          </w:tcPr>
          <w:p w14:paraId="3E1C2739" w14:textId="13D268E2" w:rsidR="00286418" w:rsidRPr="00805709" w:rsidDel="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7.54</w:t>
            </w:r>
            <w:r w:rsidRPr="00805709">
              <w:rPr>
                <w:rFonts w:cs="Segoe UI"/>
                <w:color w:val="000000"/>
                <w:szCs w:val="22"/>
              </w:rPr>
              <w:t>%</w:t>
            </w:r>
          </w:p>
        </w:tc>
        <w:tc>
          <w:tcPr>
            <w:tcW w:w="1881" w:type="dxa"/>
            <w:tcBorders>
              <w:top w:val="single" w:sz="4" w:space="0" w:color="auto"/>
              <w:left w:val="single" w:sz="4" w:space="0" w:color="auto"/>
              <w:bottom w:val="single" w:sz="4" w:space="0" w:color="auto"/>
              <w:right w:val="single" w:sz="4" w:space="0" w:color="auto"/>
            </w:tcBorders>
            <w:vAlign w:val="center"/>
          </w:tcPr>
          <w:p w14:paraId="59198581" w14:textId="484E1DA2" w:rsidR="00286418" w:rsidDel="00283E32"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7.74</w:t>
            </w:r>
            <w:r w:rsidRPr="00805709">
              <w:rPr>
                <w:rFonts w:cs="Segoe UI"/>
                <w:color w:val="000000"/>
                <w:szCs w:val="22"/>
              </w:rPr>
              <w:t>%</w:t>
            </w:r>
          </w:p>
        </w:tc>
        <w:tc>
          <w:tcPr>
            <w:tcW w:w="478" w:type="dxa"/>
            <w:tcBorders>
              <w:top w:val="single" w:sz="4" w:space="0" w:color="auto"/>
              <w:left w:val="single" w:sz="4" w:space="0" w:color="auto"/>
              <w:bottom w:val="single" w:sz="4" w:space="0" w:color="auto"/>
              <w:right w:val="single" w:sz="4" w:space="0" w:color="auto"/>
            </w:tcBorders>
            <w:vAlign w:val="center"/>
          </w:tcPr>
          <w:p w14:paraId="432390DC" w14:textId="77777777" w:rsidR="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2"/>
              </w:rPr>
            </w:pPr>
          </w:p>
        </w:tc>
      </w:tr>
      <w:tr w:rsidR="00286418" w14:paraId="1D009F7E" w14:textId="77777777" w:rsidTr="0006082E">
        <w:trPr>
          <w:trHeight w:val="432"/>
        </w:trPr>
        <w:tc>
          <w:tcPr>
            <w:tcW w:w="1478" w:type="dxa"/>
            <w:tcBorders>
              <w:top w:val="single" w:sz="4" w:space="0" w:color="auto"/>
              <w:left w:val="single" w:sz="4" w:space="0" w:color="auto"/>
              <w:bottom w:val="single" w:sz="4" w:space="0" w:color="auto"/>
              <w:right w:val="single" w:sz="4" w:space="0" w:color="auto"/>
            </w:tcBorders>
            <w:vAlign w:val="center"/>
          </w:tcPr>
          <w:p w14:paraId="60BFF390" w14:textId="074BFFC1" w:rsidR="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TRS 3</w:t>
            </w:r>
          </w:p>
        </w:tc>
        <w:tc>
          <w:tcPr>
            <w:tcW w:w="1881" w:type="dxa"/>
            <w:tcBorders>
              <w:top w:val="single" w:sz="4" w:space="0" w:color="auto"/>
              <w:left w:val="single" w:sz="4" w:space="0" w:color="auto"/>
              <w:bottom w:val="single" w:sz="4" w:space="0" w:color="auto"/>
              <w:right w:val="single" w:sz="4" w:space="0" w:color="auto"/>
            </w:tcBorders>
            <w:vAlign w:val="center"/>
          </w:tcPr>
          <w:p w14:paraId="3EEFB740" w14:textId="099F49F0" w:rsidR="00286418" w:rsidRPr="00805709"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Pr>
                <w:rFonts w:cs="Segoe UI"/>
                <w:color w:val="000000"/>
                <w:szCs w:val="22"/>
              </w:rPr>
              <w:t>5</w:t>
            </w:r>
          </w:p>
        </w:tc>
        <w:tc>
          <w:tcPr>
            <w:tcW w:w="1881" w:type="dxa"/>
            <w:tcBorders>
              <w:top w:val="single" w:sz="4" w:space="0" w:color="auto"/>
              <w:left w:val="single" w:sz="4" w:space="0" w:color="auto"/>
              <w:bottom w:val="single" w:sz="4" w:space="0" w:color="auto"/>
              <w:right w:val="single" w:sz="4" w:space="0" w:color="auto"/>
            </w:tcBorders>
            <w:vAlign w:val="center"/>
          </w:tcPr>
          <w:p w14:paraId="0D55E739" w14:textId="3EE41FDB" w:rsidR="00286418" w:rsidRPr="00805709"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Pr>
                <w:rFonts w:cs="Segoe UI"/>
                <w:color w:val="000000"/>
                <w:szCs w:val="22"/>
              </w:rPr>
              <w:t>6</w:t>
            </w:r>
          </w:p>
        </w:tc>
        <w:tc>
          <w:tcPr>
            <w:tcW w:w="1881" w:type="dxa"/>
            <w:tcBorders>
              <w:top w:val="single" w:sz="4" w:space="0" w:color="auto"/>
              <w:left w:val="single" w:sz="4" w:space="0" w:color="auto"/>
              <w:bottom w:val="single" w:sz="4" w:space="0" w:color="auto"/>
              <w:right w:val="single" w:sz="4" w:space="0" w:color="auto"/>
            </w:tcBorders>
            <w:vAlign w:val="center"/>
          </w:tcPr>
          <w:p w14:paraId="3394286F" w14:textId="50A6D9B7" w:rsidR="00286418" w:rsidRPr="00805709" w:rsidDel="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w:t>
            </w:r>
          </w:p>
        </w:tc>
        <w:tc>
          <w:tcPr>
            <w:tcW w:w="1881" w:type="dxa"/>
            <w:tcBorders>
              <w:top w:val="single" w:sz="4" w:space="0" w:color="auto"/>
              <w:left w:val="single" w:sz="4" w:space="0" w:color="auto"/>
              <w:bottom w:val="single" w:sz="4" w:space="0" w:color="auto"/>
              <w:right w:val="single" w:sz="4" w:space="0" w:color="auto"/>
            </w:tcBorders>
            <w:vAlign w:val="center"/>
          </w:tcPr>
          <w:p w14:paraId="55E0030A" w14:textId="2FBE041F" w:rsidR="00286418" w:rsidDel="00283E32"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7.74</w:t>
            </w:r>
            <w:r w:rsidRPr="00805709">
              <w:rPr>
                <w:rFonts w:cs="Segoe UI"/>
                <w:color w:val="000000"/>
                <w:szCs w:val="22"/>
              </w:rPr>
              <w:t>%</w:t>
            </w:r>
          </w:p>
        </w:tc>
        <w:tc>
          <w:tcPr>
            <w:tcW w:w="478" w:type="dxa"/>
            <w:tcBorders>
              <w:top w:val="single" w:sz="4" w:space="0" w:color="auto"/>
              <w:left w:val="single" w:sz="4" w:space="0" w:color="auto"/>
              <w:bottom w:val="single" w:sz="4" w:space="0" w:color="auto"/>
              <w:right w:val="single" w:sz="4" w:space="0" w:color="auto"/>
            </w:tcBorders>
            <w:vAlign w:val="center"/>
          </w:tcPr>
          <w:p w14:paraId="0DE172DF" w14:textId="5F16DF23" w:rsidR="00286418" w:rsidRDefault="00286418" w:rsidP="0028641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2"/>
              </w:rPr>
            </w:pPr>
            <w:r w:rsidRPr="00805709">
              <w:rPr>
                <w:rFonts w:cs="Segoe UI"/>
                <w:color w:val="000000"/>
                <w:szCs w:val="22"/>
              </w:rPr>
              <w:t>**</w:t>
            </w:r>
          </w:p>
        </w:tc>
      </w:tr>
      <w:tr w:rsidR="00672ACB" w14:paraId="61D86AA4" w14:textId="77777777" w:rsidTr="0006082E">
        <w:trPr>
          <w:trHeight w:val="432"/>
        </w:trPr>
        <w:tc>
          <w:tcPr>
            <w:tcW w:w="1478" w:type="dxa"/>
            <w:tcBorders>
              <w:top w:val="single" w:sz="4" w:space="0" w:color="auto"/>
              <w:left w:val="single" w:sz="4" w:space="0" w:color="auto"/>
              <w:bottom w:val="single" w:sz="4" w:space="0" w:color="auto"/>
              <w:right w:val="single" w:sz="4" w:space="0" w:color="auto"/>
            </w:tcBorders>
            <w:vAlign w:val="center"/>
            <w:hideMark/>
          </w:tcPr>
          <w:p w14:paraId="27D0DE5F" w14:textId="77777777"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SERS 2</w:t>
            </w:r>
          </w:p>
        </w:tc>
        <w:tc>
          <w:tcPr>
            <w:tcW w:w="1881" w:type="dxa"/>
            <w:tcBorders>
              <w:top w:val="single" w:sz="4" w:space="0" w:color="auto"/>
              <w:left w:val="single" w:sz="4" w:space="0" w:color="auto"/>
              <w:bottom w:val="single" w:sz="4" w:space="0" w:color="auto"/>
              <w:right w:val="single" w:sz="4" w:space="0" w:color="auto"/>
            </w:tcBorders>
            <w:vAlign w:val="center"/>
          </w:tcPr>
          <w:p w14:paraId="12EF99A9" w14:textId="3FC73230"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sidR="00283E32">
              <w:rPr>
                <w:rFonts w:cs="Segoe UI"/>
                <w:color w:val="000000"/>
                <w:szCs w:val="22"/>
              </w:rPr>
              <w:t>5</w:t>
            </w:r>
          </w:p>
        </w:tc>
        <w:tc>
          <w:tcPr>
            <w:tcW w:w="1881" w:type="dxa"/>
            <w:tcBorders>
              <w:top w:val="single" w:sz="4" w:space="0" w:color="auto"/>
              <w:left w:val="single" w:sz="4" w:space="0" w:color="auto"/>
              <w:bottom w:val="single" w:sz="4" w:space="0" w:color="auto"/>
              <w:right w:val="single" w:sz="4" w:space="0" w:color="auto"/>
            </w:tcBorders>
            <w:vAlign w:val="center"/>
          </w:tcPr>
          <w:p w14:paraId="0CE6B640" w14:textId="7CA9CB96"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sidR="00283E32">
              <w:rPr>
                <w:rFonts w:cs="Segoe UI"/>
                <w:color w:val="000000"/>
                <w:szCs w:val="22"/>
              </w:rPr>
              <w:t>6</w:t>
            </w:r>
          </w:p>
        </w:tc>
        <w:tc>
          <w:tcPr>
            <w:tcW w:w="1881" w:type="dxa"/>
            <w:tcBorders>
              <w:top w:val="single" w:sz="4" w:space="0" w:color="auto"/>
              <w:left w:val="single" w:sz="4" w:space="0" w:color="auto"/>
              <w:bottom w:val="single" w:sz="4" w:space="0" w:color="auto"/>
              <w:right w:val="single" w:sz="4" w:space="0" w:color="auto"/>
            </w:tcBorders>
            <w:vAlign w:val="center"/>
          </w:tcPr>
          <w:p w14:paraId="09EA5E2A" w14:textId="7466CB30" w:rsidR="00672ACB" w:rsidRDefault="00286418"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6.87</w:t>
            </w:r>
            <w:r w:rsidR="00672ACB" w:rsidRPr="00805709">
              <w:rPr>
                <w:rFonts w:cs="Segoe UI"/>
                <w:color w:val="000000"/>
                <w:szCs w:val="22"/>
              </w:rPr>
              <w:t>%</w:t>
            </w:r>
          </w:p>
        </w:tc>
        <w:tc>
          <w:tcPr>
            <w:tcW w:w="1881" w:type="dxa"/>
            <w:tcBorders>
              <w:top w:val="single" w:sz="4" w:space="0" w:color="auto"/>
              <w:left w:val="single" w:sz="4" w:space="0" w:color="auto"/>
              <w:bottom w:val="single" w:sz="4" w:space="0" w:color="auto"/>
              <w:right w:val="single" w:sz="4" w:space="0" w:color="auto"/>
            </w:tcBorders>
            <w:vAlign w:val="center"/>
          </w:tcPr>
          <w:p w14:paraId="7F2B2B79" w14:textId="62FF635F" w:rsidR="00672ACB" w:rsidRDefault="00283E32"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7.07</w:t>
            </w:r>
            <w:r w:rsidR="00672ACB" w:rsidRPr="00805709">
              <w:rPr>
                <w:rFonts w:cs="Segoe UI"/>
                <w:color w:val="000000"/>
                <w:szCs w:val="22"/>
              </w:rPr>
              <w:t>%</w:t>
            </w:r>
          </w:p>
        </w:tc>
        <w:tc>
          <w:tcPr>
            <w:tcW w:w="478" w:type="dxa"/>
            <w:tcBorders>
              <w:top w:val="single" w:sz="4" w:space="0" w:color="auto"/>
              <w:left w:val="single" w:sz="4" w:space="0" w:color="auto"/>
              <w:bottom w:val="single" w:sz="4" w:space="0" w:color="auto"/>
              <w:right w:val="single" w:sz="4" w:space="0" w:color="auto"/>
            </w:tcBorders>
            <w:vAlign w:val="center"/>
          </w:tcPr>
          <w:p w14:paraId="362FC655" w14:textId="77777777"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2"/>
              </w:rPr>
            </w:pPr>
          </w:p>
        </w:tc>
      </w:tr>
      <w:tr w:rsidR="00672ACB" w14:paraId="6A9F314C" w14:textId="77777777" w:rsidTr="0006082E">
        <w:trPr>
          <w:trHeight w:val="432"/>
        </w:trPr>
        <w:tc>
          <w:tcPr>
            <w:tcW w:w="1478" w:type="dxa"/>
            <w:tcBorders>
              <w:top w:val="single" w:sz="4" w:space="0" w:color="auto"/>
              <w:left w:val="single" w:sz="4" w:space="0" w:color="auto"/>
              <w:bottom w:val="single" w:sz="4" w:space="0" w:color="auto"/>
              <w:right w:val="single" w:sz="4" w:space="0" w:color="auto"/>
            </w:tcBorders>
            <w:vAlign w:val="center"/>
            <w:hideMark/>
          </w:tcPr>
          <w:p w14:paraId="46800585" w14:textId="77777777"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SERS 3</w:t>
            </w:r>
          </w:p>
        </w:tc>
        <w:tc>
          <w:tcPr>
            <w:tcW w:w="1881" w:type="dxa"/>
            <w:tcBorders>
              <w:top w:val="single" w:sz="4" w:space="0" w:color="auto"/>
              <w:left w:val="single" w:sz="4" w:space="0" w:color="auto"/>
              <w:bottom w:val="single" w:sz="4" w:space="0" w:color="auto"/>
              <w:right w:val="single" w:sz="4" w:space="0" w:color="auto"/>
            </w:tcBorders>
            <w:vAlign w:val="center"/>
          </w:tcPr>
          <w:p w14:paraId="3860A765" w14:textId="07EA941E"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sidR="00283E32">
              <w:rPr>
                <w:rFonts w:cs="Segoe UI"/>
                <w:color w:val="000000"/>
                <w:szCs w:val="22"/>
              </w:rPr>
              <w:t>5</w:t>
            </w:r>
          </w:p>
        </w:tc>
        <w:tc>
          <w:tcPr>
            <w:tcW w:w="1881" w:type="dxa"/>
            <w:tcBorders>
              <w:top w:val="single" w:sz="4" w:space="0" w:color="auto"/>
              <w:left w:val="single" w:sz="4" w:space="0" w:color="auto"/>
              <w:bottom w:val="single" w:sz="4" w:space="0" w:color="auto"/>
              <w:right w:val="single" w:sz="4" w:space="0" w:color="auto"/>
            </w:tcBorders>
            <w:vAlign w:val="center"/>
          </w:tcPr>
          <w:p w14:paraId="6F028CA1" w14:textId="73DA8A88"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sidR="00283E32">
              <w:rPr>
                <w:rFonts w:cs="Segoe UI"/>
                <w:color w:val="000000"/>
                <w:szCs w:val="22"/>
              </w:rPr>
              <w:t>6</w:t>
            </w:r>
          </w:p>
        </w:tc>
        <w:tc>
          <w:tcPr>
            <w:tcW w:w="1881" w:type="dxa"/>
            <w:tcBorders>
              <w:top w:val="single" w:sz="4" w:space="0" w:color="auto"/>
              <w:left w:val="single" w:sz="4" w:space="0" w:color="auto"/>
              <w:bottom w:val="single" w:sz="4" w:space="0" w:color="auto"/>
              <w:right w:val="single" w:sz="4" w:space="0" w:color="auto"/>
            </w:tcBorders>
            <w:vAlign w:val="center"/>
          </w:tcPr>
          <w:p w14:paraId="4FD9EC81" w14:textId="336B68A1"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w:t>
            </w:r>
          </w:p>
        </w:tc>
        <w:tc>
          <w:tcPr>
            <w:tcW w:w="1881" w:type="dxa"/>
            <w:tcBorders>
              <w:top w:val="single" w:sz="4" w:space="0" w:color="auto"/>
              <w:left w:val="single" w:sz="4" w:space="0" w:color="auto"/>
              <w:bottom w:val="single" w:sz="4" w:space="0" w:color="auto"/>
              <w:right w:val="single" w:sz="4" w:space="0" w:color="auto"/>
            </w:tcBorders>
            <w:vAlign w:val="center"/>
          </w:tcPr>
          <w:p w14:paraId="7652FFFB" w14:textId="0340BCED" w:rsidR="00672ACB" w:rsidRDefault="00286418"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7.07</w:t>
            </w:r>
            <w:r w:rsidR="00672ACB" w:rsidRPr="00805709">
              <w:rPr>
                <w:rFonts w:cs="Segoe UI"/>
                <w:color w:val="000000"/>
                <w:szCs w:val="22"/>
              </w:rPr>
              <w:t>%</w:t>
            </w:r>
          </w:p>
        </w:tc>
        <w:tc>
          <w:tcPr>
            <w:tcW w:w="478" w:type="dxa"/>
            <w:tcBorders>
              <w:top w:val="single" w:sz="4" w:space="0" w:color="auto"/>
              <w:left w:val="single" w:sz="4" w:space="0" w:color="auto"/>
              <w:bottom w:val="single" w:sz="4" w:space="0" w:color="auto"/>
              <w:right w:val="single" w:sz="4" w:space="0" w:color="auto"/>
            </w:tcBorders>
            <w:vAlign w:val="center"/>
          </w:tcPr>
          <w:p w14:paraId="69332855" w14:textId="33B330E0"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2"/>
              </w:rPr>
            </w:pPr>
            <w:r w:rsidRPr="00805709">
              <w:rPr>
                <w:rFonts w:cs="Segoe UI"/>
                <w:color w:val="000000"/>
                <w:szCs w:val="22"/>
              </w:rPr>
              <w:t>**</w:t>
            </w:r>
          </w:p>
        </w:tc>
      </w:tr>
      <w:tr w:rsidR="00672ACB" w14:paraId="15212CD5" w14:textId="77777777" w:rsidTr="0006082E">
        <w:trPr>
          <w:trHeight w:val="440"/>
        </w:trPr>
        <w:tc>
          <w:tcPr>
            <w:tcW w:w="9480" w:type="dxa"/>
            <w:gridSpan w:val="6"/>
            <w:tcBorders>
              <w:top w:val="single" w:sz="4" w:space="0" w:color="auto"/>
              <w:left w:val="single" w:sz="4" w:space="0" w:color="auto"/>
              <w:bottom w:val="single" w:sz="4" w:space="0" w:color="auto"/>
              <w:right w:val="single" w:sz="4" w:space="0" w:color="auto"/>
            </w:tcBorders>
            <w:vAlign w:val="center"/>
          </w:tcPr>
          <w:p w14:paraId="00F36974" w14:textId="2F7391DB"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color w:val="000000"/>
                <w:szCs w:val="22"/>
              </w:rPr>
            </w:pPr>
            <w:r w:rsidRPr="009806F9">
              <w:rPr>
                <w:rFonts w:cs="Segoe UI"/>
                <w:bCs/>
                <w:i/>
                <w:iCs/>
                <w:szCs w:val="22"/>
              </w:rPr>
              <w:t>Note: The Employer rates include .00</w:t>
            </w:r>
            <w:r>
              <w:rPr>
                <w:rFonts w:cs="Segoe UI"/>
                <w:bCs/>
                <w:i/>
                <w:iCs/>
                <w:szCs w:val="22"/>
              </w:rPr>
              <w:t>20</w:t>
            </w:r>
            <w:r w:rsidRPr="009806F9">
              <w:rPr>
                <w:rFonts w:cs="Segoe UI"/>
                <w:bCs/>
                <w:i/>
                <w:iCs/>
                <w:szCs w:val="22"/>
              </w:rPr>
              <w:t xml:space="preserve"> DRS administrative expense. </w:t>
            </w:r>
          </w:p>
        </w:tc>
      </w:tr>
      <w:tr w:rsidR="00672ACB" w14:paraId="0478288D" w14:textId="77777777" w:rsidTr="0006082E">
        <w:trPr>
          <w:trHeight w:val="800"/>
        </w:trPr>
        <w:tc>
          <w:tcPr>
            <w:tcW w:w="9480" w:type="dxa"/>
            <w:gridSpan w:val="6"/>
            <w:tcBorders>
              <w:top w:val="single" w:sz="4" w:space="0" w:color="auto"/>
              <w:left w:val="single" w:sz="4" w:space="0" w:color="auto"/>
              <w:bottom w:val="single" w:sz="4" w:space="0" w:color="auto"/>
              <w:right w:val="single" w:sz="4" w:space="0" w:color="auto"/>
            </w:tcBorders>
            <w:vAlign w:val="center"/>
          </w:tcPr>
          <w:p w14:paraId="34C1A8DE" w14:textId="7FAF57CB"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color w:val="000000"/>
                <w:szCs w:val="22"/>
              </w:rPr>
            </w:pPr>
            <w:r w:rsidRPr="009806F9">
              <w:rPr>
                <w:rFonts w:cs="Segoe UI"/>
                <w:bCs/>
                <w:szCs w:val="22"/>
              </w:rPr>
              <w:t>* – TRS and SERS Plan 3 Employee Contribution Variable from 5% to 15% based on rate selected by the employee member.</w:t>
            </w:r>
          </w:p>
        </w:tc>
      </w:tr>
      <w:tr w:rsidR="00672ACB" w14:paraId="0D686E04" w14:textId="77777777" w:rsidTr="0006082E">
        <w:trPr>
          <w:trHeight w:val="440"/>
        </w:trPr>
        <w:tc>
          <w:tcPr>
            <w:tcW w:w="9480" w:type="dxa"/>
            <w:gridSpan w:val="6"/>
            <w:tcBorders>
              <w:top w:val="single" w:sz="4" w:space="0" w:color="auto"/>
              <w:left w:val="single" w:sz="4" w:space="0" w:color="auto"/>
              <w:bottom w:val="single" w:sz="4" w:space="0" w:color="auto"/>
              <w:right w:val="single" w:sz="4" w:space="0" w:color="auto"/>
            </w:tcBorders>
            <w:vAlign w:val="center"/>
          </w:tcPr>
          <w:p w14:paraId="10B86787" w14:textId="04C813C4" w:rsidR="00672ACB" w:rsidRDefault="00672ACB" w:rsidP="00672A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color w:val="000000"/>
                <w:szCs w:val="22"/>
              </w:rPr>
            </w:pPr>
            <w:r w:rsidRPr="009806F9">
              <w:rPr>
                <w:rFonts w:cs="Segoe UI"/>
                <w:bCs/>
                <w:szCs w:val="22"/>
              </w:rPr>
              <w:t>** – TRS and SERS Plan 2/3 Employer Contributions for defined benefit portion only.</w:t>
            </w:r>
          </w:p>
        </w:tc>
      </w:tr>
    </w:tbl>
    <w:p w14:paraId="7A51419D" w14:textId="77777777" w:rsidR="003132CB" w:rsidRDefault="003132CB" w:rsidP="003132C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1A4F2866" w14:textId="77777777" w:rsidR="003132CB" w:rsidRDefault="003132CB" w:rsidP="003132CB">
      <w:pPr>
        <w:pStyle w:val="Heading2"/>
      </w:pPr>
      <w:r>
        <w:t xml:space="preserve">The School District’s Proportionate Share of the Net Pension Liability (Asset) </w:t>
      </w:r>
    </w:p>
    <w:p w14:paraId="69CD92C4" w14:textId="77777777" w:rsidR="003132CB" w:rsidRDefault="003132CB" w:rsidP="003132CB">
      <w:pPr>
        <w:rPr>
          <w:rFonts w:cs="Arial"/>
          <w:b/>
          <w:szCs w:val="22"/>
        </w:rPr>
      </w:pPr>
    </w:p>
    <w:p w14:paraId="0E844E82" w14:textId="3A883A40" w:rsidR="003132CB" w:rsidRPr="0021669F" w:rsidRDefault="003132CB" w:rsidP="003132CB">
      <w:pPr>
        <w:rPr>
          <w:rFonts w:cs="Arial"/>
          <w:szCs w:val="22"/>
        </w:rPr>
      </w:pPr>
      <w:proofErr w:type="gramStart"/>
      <w:r>
        <w:rPr>
          <w:rFonts w:cs="Arial"/>
          <w:szCs w:val="22"/>
        </w:rPr>
        <w:t>At</w:t>
      </w:r>
      <w:proofErr w:type="gramEnd"/>
      <w:r>
        <w:rPr>
          <w:rFonts w:cs="Arial"/>
          <w:szCs w:val="22"/>
        </w:rPr>
        <w:t xml:space="preserve"> June 30, 20</w:t>
      </w:r>
      <w:r w:rsidR="00442EA8">
        <w:rPr>
          <w:rFonts w:cs="Arial"/>
          <w:szCs w:val="22"/>
        </w:rPr>
        <w:t>2</w:t>
      </w:r>
      <w:r w:rsidR="006A10FB">
        <w:rPr>
          <w:rFonts w:cs="Arial"/>
          <w:szCs w:val="22"/>
        </w:rPr>
        <w:t>6</w:t>
      </w:r>
      <w:r>
        <w:rPr>
          <w:rFonts w:cs="Arial"/>
          <w:szCs w:val="22"/>
        </w:rPr>
        <w:t>, the school district reported a total liability of $</w:t>
      </w:r>
      <w:r>
        <w:rPr>
          <w:rFonts w:cs="Arial"/>
          <w:b/>
          <w:szCs w:val="22"/>
        </w:rPr>
        <w:t>_________</w:t>
      </w:r>
      <w:r>
        <w:rPr>
          <w:rFonts w:cs="Arial"/>
          <w:szCs w:val="22"/>
        </w:rPr>
        <w:t xml:space="preserve"> for its proportionate shares of the individual plans’ collective net pension liability and $</w:t>
      </w:r>
      <w:r>
        <w:rPr>
          <w:rFonts w:cs="Arial"/>
          <w:b/>
          <w:szCs w:val="22"/>
        </w:rPr>
        <w:t>________</w:t>
      </w:r>
      <w:proofErr w:type="gramStart"/>
      <w:r>
        <w:rPr>
          <w:rFonts w:cs="Arial"/>
          <w:b/>
          <w:szCs w:val="22"/>
        </w:rPr>
        <w:t xml:space="preserve">_ </w:t>
      </w:r>
      <w:r>
        <w:rPr>
          <w:rFonts w:cs="Arial"/>
          <w:szCs w:val="22"/>
        </w:rPr>
        <w:t xml:space="preserve"> for</w:t>
      </w:r>
      <w:proofErr w:type="gramEnd"/>
      <w:r>
        <w:rPr>
          <w:rFonts w:cs="Arial"/>
          <w:szCs w:val="22"/>
        </w:rPr>
        <w:t xml:space="preserve"> its proportionate s</w:t>
      </w:r>
      <w:r w:rsidRPr="0021669F">
        <w:rPr>
          <w:rFonts w:cs="Arial"/>
          <w:szCs w:val="22"/>
        </w:rPr>
        <w:t>hares of net pension assets. Proportions of net pension amounts are based on annual contributions</w:t>
      </w:r>
      <w:r w:rsidR="001B31A4" w:rsidRPr="0021669F">
        <w:rPr>
          <w:rFonts w:cs="Arial"/>
          <w:szCs w:val="22"/>
        </w:rPr>
        <w:t xml:space="preserve"> and compensation*</w:t>
      </w:r>
      <w:r w:rsidRPr="0021669F">
        <w:rPr>
          <w:rFonts w:cs="Arial"/>
          <w:szCs w:val="22"/>
        </w:rPr>
        <w:t xml:space="preserve"> for each of the employers participating in the DRS administered plans. </w:t>
      </w:r>
      <w:proofErr w:type="gramStart"/>
      <w:r w:rsidRPr="0021669F">
        <w:rPr>
          <w:rFonts w:cs="Arial"/>
          <w:szCs w:val="22"/>
        </w:rPr>
        <w:t>At</w:t>
      </w:r>
      <w:proofErr w:type="gramEnd"/>
      <w:r w:rsidRPr="0021669F">
        <w:rPr>
          <w:rFonts w:cs="Arial"/>
          <w:szCs w:val="22"/>
        </w:rPr>
        <w:t xml:space="preserve"> June 30, </w:t>
      </w:r>
      <w:r w:rsidR="00081CEE" w:rsidRPr="0021669F">
        <w:rPr>
          <w:rFonts w:cs="Arial"/>
          <w:szCs w:val="22"/>
        </w:rPr>
        <w:t>202</w:t>
      </w:r>
      <w:r w:rsidR="006A10FB" w:rsidRPr="0021669F">
        <w:rPr>
          <w:rFonts w:cs="Arial"/>
          <w:szCs w:val="22"/>
        </w:rPr>
        <w:t>6</w:t>
      </w:r>
      <w:r w:rsidR="00081CEE" w:rsidRPr="0021669F">
        <w:rPr>
          <w:rFonts w:cs="Arial"/>
          <w:szCs w:val="22"/>
        </w:rPr>
        <w:t>,</w:t>
      </w:r>
      <w:r w:rsidRPr="0021669F">
        <w:rPr>
          <w:rFonts w:cs="Arial"/>
          <w:szCs w:val="22"/>
        </w:rPr>
        <w:t xml:space="preserve"> the district’s proportionate share of each plan’s net pension liability</w:t>
      </w:r>
      <w:r w:rsidR="00081CEE" w:rsidRPr="0021669F">
        <w:rPr>
          <w:rFonts w:cs="Arial"/>
          <w:szCs w:val="22"/>
        </w:rPr>
        <w:t xml:space="preserve"> or asset </w:t>
      </w:r>
      <w:r w:rsidRPr="0021669F">
        <w:rPr>
          <w:rFonts w:cs="Arial"/>
          <w:szCs w:val="22"/>
        </w:rPr>
        <w:t>is reported below:</w:t>
      </w:r>
    </w:p>
    <w:p w14:paraId="04C49AE3" w14:textId="77777777" w:rsidR="003132CB" w:rsidRPr="0021669F" w:rsidRDefault="003132CB" w:rsidP="003132CB">
      <w:pPr>
        <w:rPr>
          <w:rFonts w:cs="Arial"/>
          <w:szCs w:val="22"/>
        </w:rPr>
      </w:pPr>
    </w:p>
    <w:tbl>
      <w:tblPr>
        <w:tblStyle w:val="TableGrid"/>
        <w:tblW w:w="0" w:type="auto"/>
        <w:tblLook w:val="04A0" w:firstRow="1" w:lastRow="0" w:firstColumn="1" w:lastColumn="0" w:noHBand="0" w:noVBand="1"/>
        <w:tblCaption w:val="Proportionate Share of NPL"/>
      </w:tblPr>
      <w:tblGrid>
        <w:gridCol w:w="2265"/>
        <w:gridCol w:w="1771"/>
        <w:gridCol w:w="1771"/>
        <w:gridCol w:w="1771"/>
        <w:gridCol w:w="1772"/>
      </w:tblGrid>
      <w:tr w:rsidR="003132CB" w:rsidRPr="0021669F" w14:paraId="00586B8C" w14:textId="77777777" w:rsidTr="001B31A4">
        <w:trPr>
          <w:trHeight w:val="259"/>
          <w:tblHeader/>
        </w:trPr>
        <w:tc>
          <w:tcPr>
            <w:tcW w:w="226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57698C9" w14:textId="0489DEF2" w:rsidR="003132CB" w:rsidRPr="0021669F" w:rsidRDefault="003132CB">
            <w:pPr>
              <w:jc w:val="center"/>
              <w:rPr>
                <w:rFonts w:cs="Arial"/>
                <w:bCs/>
                <w:szCs w:val="22"/>
              </w:rPr>
            </w:pPr>
            <w:r w:rsidRPr="0021669F">
              <w:rPr>
                <w:rFonts w:cs="Arial"/>
                <w:bCs/>
                <w:szCs w:val="22"/>
              </w:rPr>
              <w:t>June 30, 202</w:t>
            </w:r>
            <w:r w:rsidR="006A10FB" w:rsidRPr="0021669F">
              <w:rPr>
                <w:rFonts w:cs="Arial"/>
                <w:bCs/>
                <w:szCs w:val="22"/>
              </w:rPr>
              <w:t>6</w:t>
            </w:r>
          </w:p>
        </w:tc>
        <w:tc>
          <w:tcPr>
            <w:tcW w:w="1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1D011D7" w14:textId="77777777" w:rsidR="003132CB" w:rsidRPr="0021669F" w:rsidRDefault="003132CB">
            <w:pPr>
              <w:jc w:val="center"/>
              <w:rPr>
                <w:rFonts w:cs="Arial"/>
                <w:szCs w:val="22"/>
              </w:rPr>
            </w:pPr>
            <w:r w:rsidRPr="0021669F">
              <w:rPr>
                <w:rFonts w:cs="Arial"/>
                <w:szCs w:val="22"/>
              </w:rPr>
              <w:t>PERS 1</w:t>
            </w:r>
          </w:p>
        </w:tc>
        <w:tc>
          <w:tcPr>
            <w:tcW w:w="1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16492F23" w14:textId="77777777" w:rsidR="003132CB" w:rsidRPr="0021669F" w:rsidRDefault="003132CB">
            <w:pPr>
              <w:jc w:val="center"/>
              <w:rPr>
                <w:rFonts w:cs="Arial"/>
                <w:szCs w:val="22"/>
              </w:rPr>
            </w:pPr>
            <w:r w:rsidRPr="0021669F">
              <w:rPr>
                <w:rFonts w:cs="Arial"/>
                <w:szCs w:val="22"/>
              </w:rPr>
              <w:t>SERS 2/3</w:t>
            </w:r>
          </w:p>
        </w:tc>
        <w:tc>
          <w:tcPr>
            <w:tcW w:w="1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10A216E0" w14:textId="77777777" w:rsidR="003132CB" w:rsidRPr="0021669F" w:rsidRDefault="003132CB">
            <w:pPr>
              <w:jc w:val="center"/>
              <w:rPr>
                <w:rFonts w:cs="Arial"/>
                <w:szCs w:val="22"/>
              </w:rPr>
            </w:pPr>
            <w:r w:rsidRPr="0021669F">
              <w:rPr>
                <w:rFonts w:cs="Arial"/>
                <w:szCs w:val="22"/>
              </w:rPr>
              <w:t>TRS 1</w:t>
            </w:r>
          </w:p>
        </w:tc>
        <w:tc>
          <w:tcPr>
            <w:tcW w:w="17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5545BF4" w14:textId="77777777" w:rsidR="003132CB" w:rsidRPr="0021669F" w:rsidRDefault="003132CB">
            <w:pPr>
              <w:jc w:val="center"/>
              <w:rPr>
                <w:rFonts w:cs="Arial"/>
                <w:szCs w:val="22"/>
              </w:rPr>
            </w:pPr>
            <w:r w:rsidRPr="0021669F">
              <w:rPr>
                <w:rFonts w:cs="Arial"/>
                <w:szCs w:val="22"/>
              </w:rPr>
              <w:t>TRS 2/3</w:t>
            </w:r>
          </w:p>
        </w:tc>
      </w:tr>
      <w:tr w:rsidR="003132CB" w:rsidRPr="0021669F" w14:paraId="443D3F55" w14:textId="77777777" w:rsidTr="001B31A4">
        <w:trPr>
          <w:trHeight w:val="467"/>
          <w:tblHeader/>
        </w:trPr>
        <w:tc>
          <w:tcPr>
            <w:tcW w:w="2265" w:type="dxa"/>
            <w:tcBorders>
              <w:top w:val="single" w:sz="4" w:space="0" w:color="auto"/>
              <w:left w:val="single" w:sz="4" w:space="0" w:color="auto"/>
              <w:bottom w:val="single" w:sz="4" w:space="0" w:color="auto"/>
              <w:right w:val="single" w:sz="4" w:space="0" w:color="auto"/>
            </w:tcBorders>
            <w:hideMark/>
          </w:tcPr>
          <w:p w14:paraId="5B228D69" w14:textId="77777777" w:rsidR="003132CB" w:rsidRPr="0021669F" w:rsidRDefault="003132CB">
            <w:pPr>
              <w:rPr>
                <w:rFonts w:cs="Arial"/>
                <w:szCs w:val="22"/>
              </w:rPr>
            </w:pPr>
            <w:r w:rsidRPr="0021669F">
              <w:rPr>
                <w:rFonts w:cs="Arial"/>
                <w:szCs w:val="22"/>
              </w:rPr>
              <w:t>District’s Annual Contributions</w:t>
            </w:r>
          </w:p>
        </w:tc>
        <w:tc>
          <w:tcPr>
            <w:tcW w:w="1771" w:type="dxa"/>
            <w:tcBorders>
              <w:top w:val="single" w:sz="4" w:space="0" w:color="auto"/>
              <w:left w:val="single" w:sz="4" w:space="0" w:color="auto"/>
              <w:bottom w:val="single" w:sz="4" w:space="0" w:color="auto"/>
              <w:right w:val="single" w:sz="4" w:space="0" w:color="auto"/>
            </w:tcBorders>
            <w:vAlign w:val="center"/>
          </w:tcPr>
          <w:p w14:paraId="5797CDC9" w14:textId="77777777" w:rsidR="003132CB" w:rsidRPr="0021669F" w:rsidRDefault="003132CB">
            <w:pPr>
              <w:rPr>
                <w:rFonts w:cs="Arial"/>
                <w:szCs w:val="22"/>
              </w:rPr>
            </w:pPr>
          </w:p>
        </w:tc>
        <w:tc>
          <w:tcPr>
            <w:tcW w:w="1771" w:type="dxa"/>
            <w:tcBorders>
              <w:top w:val="single" w:sz="4" w:space="0" w:color="auto"/>
              <w:left w:val="single" w:sz="4" w:space="0" w:color="auto"/>
              <w:bottom w:val="single" w:sz="4" w:space="0" w:color="auto"/>
              <w:right w:val="single" w:sz="4" w:space="0" w:color="auto"/>
            </w:tcBorders>
            <w:vAlign w:val="center"/>
          </w:tcPr>
          <w:p w14:paraId="75BE7BAC" w14:textId="77777777" w:rsidR="003132CB" w:rsidRPr="0021669F" w:rsidRDefault="003132CB">
            <w:pPr>
              <w:rPr>
                <w:rFonts w:cs="Arial"/>
                <w:szCs w:val="22"/>
              </w:rPr>
            </w:pPr>
          </w:p>
        </w:tc>
        <w:tc>
          <w:tcPr>
            <w:tcW w:w="1771" w:type="dxa"/>
            <w:tcBorders>
              <w:top w:val="single" w:sz="4" w:space="0" w:color="auto"/>
              <w:left w:val="single" w:sz="4" w:space="0" w:color="auto"/>
              <w:bottom w:val="single" w:sz="4" w:space="0" w:color="auto"/>
              <w:right w:val="single" w:sz="4" w:space="0" w:color="auto"/>
            </w:tcBorders>
            <w:vAlign w:val="center"/>
          </w:tcPr>
          <w:p w14:paraId="279B65A7" w14:textId="77777777" w:rsidR="003132CB" w:rsidRPr="0021669F" w:rsidRDefault="003132CB">
            <w:pPr>
              <w:rPr>
                <w:rFonts w:cs="Arial"/>
                <w:szCs w:val="22"/>
              </w:rPr>
            </w:pPr>
          </w:p>
        </w:tc>
        <w:tc>
          <w:tcPr>
            <w:tcW w:w="1772" w:type="dxa"/>
            <w:tcBorders>
              <w:top w:val="single" w:sz="4" w:space="0" w:color="auto"/>
              <w:left w:val="single" w:sz="4" w:space="0" w:color="auto"/>
              <w:bottom w:val="single" w:sz="4" w:space="0" w:color="auto"/>
              <w:right w:val="single" w:sz="4" w:space="0" w:color="auto"/>
            </w:tcBorders>
            <w:vAlign w:val="center"/>
          </w:tcPr>
          <w:p w14:paraId="0F978E5D" w14:textId="77777777" w:rsidR="003132CB" w:rsidRPr="0021669F" w:rsidRDefault="003132CB">
            <w:pPr>
              <w:rPr>
                <w:rFonts w:cs="Arial"/>
                <w:szCs w:val="22"/>
              </w:rPr>
            </w:pPr>
          </w:p>
        </w:tc>
      </w:tr>
      <w:tr w:rsidR="001B31A4" w:rsidRPr="0021669F" w14:paraId="7031209F" w14:textId="77777777" w:rsidTr="001B31A4">
        <w:trPr>
          <w:trHeight w:val="782"/>
          <w:tblHeader/>
        </w:trPr>
        <w:tc>
          <w:tcPr>
            <w:tcW w:w="2265" w:type="dxa"/>
            <w:tcBorders>
              <w:top w:val="single" w:sz="4" w:space="0" w:color="auto"/>
              <w:left w:val="single" w:sz="4" w:space="0" w:color="auto"/>
              <w:bottom w:val="single" w:sz="4" w:space="0" w:color="auto"/>
              <w:right w:val="single" w:sz="4" w:space="0" w:color="auto"/>
            </w:tcBorders>
            <w:vAlign w:val="center"/>
          </w:tcPr>
          <w:p w14:paraId="132C034D" w14:textId="609A8771" w:rsidR="001B31A4" w:rsidRPr="0021669F" w:rsidRDefault="001B31A4" w:rsidP="001B31A4">
            <w:pPr>
              <w:rPr>
                <w:rFonts w:cs="Arial"/>
                <w:szCs w:val="22"/>
              </w:rPr>
            </w:pPr>
            <w:r w:rsidRPr="0021669F">
              <w:rPr>
                <w:rFonts w:cs="Arial"/>
                <w:szCs w:val="22"/>
              </w:rPr>
              <w:t>District’s Annual Compensation *</w:t>
            </w:r>
          </w:p>
        </w:tc>
        <w:tc>
          <w:tcPr>
            <w:tcW w:w="1771" w:type="dxa"/>
            <w:tcBorders>
              <w:top w:val="single" w:sz="4" w:space="0" w:color="auto"/>
              <w:left w:val="single" w:sz="4" w:space="0" w:color="auto"/>
              <w:bottom w:val="single" w:sz="4" w:space="0" w:color="auto"/>
              <w:right w:val="single" w:sz="4" w:space="0" w:color="auto"/>
            </w:tcBorders>
            <w:vAlign w:val="center"/>
          </w:tcPr>
          <w:p w14:paraId="1A876071" w14:textId="77777777" w:rsidR="001B31A4" w:rsidRPr="0021669F" w:rsidRDefault="001B31A4">
            <w:pPr>
              <w:rPr>
                <w:rFonts w:cs="Arial"/>
                <w:szCs w:val="22"/>
              </w:rPr>
            </w:pPr>
          </w:p>
        </w:tc>
        <w:tc>
          <w:tcPr>
            <w:tcW w:w="1771" w:type="dxa"/>
            <w:tcBorders>
              <w:top w:val="single" w:sz="4" w:space="0" w:color="auto"/>
              <w:left w:val="single" w:sz="4" w:space="0" w:color="auto"/>
              <w:bottom w:val="single" w:sz="4" w:space="0" w:color="auto"/>
              <w:right w:val="single" w:sz="4" w:space="0" w:color="auto"/>
            </w:tcBorders>
            <w:vAlign w:val="center"/>
          </w:tcPr>
          <w:p w14:paraId="568B7CC2" w14:textId="77777777" w:rsidR="001B31A4" w:rsidRPr="0021669F" w:rsidRDefault="001B31A4">
            <w:pPr>
              <w:rPr>
                <w:rFonts w:cs="Arial"/>
                <w:szCs w:val="22"/>
              </w:rPr>
            </w:pPr>
          </w:p>
        </w:tc>
        <w:tc>
          <w:tcPr>
            <w:tcW w:w="1771" w:type="dxa"/>
            <w:tcBorders>
              <w:top w:val="single" w:sz="4" w:space="0" w:color="auto"/>
              <w:left w:val="single" w:sz="4" w:space="0" w:color="auto"/>
              <w:bottom w:val="single" w:sz="4" w:space="0" w:color="auto"/>
              <w:right w:val="single" w:sz="4" w:space="0" w:color="auto"/>
            </w:tcBorders>
            <w:vAlign w:val="center"/>
          </w:tcPr>
          <w:p w14:paraId="403DF0AC" w14:textId="77777777" w:rsidR="001B31A4" w:rsidRPr="0021669F" w:rsidRDefault="001B31A4">
            <w:pPr>
              <w:rPr>
                <w:rFonts w:cs="Arial"/>
                <w:szCs w:val="22"/>
              </w:rPr>
            </w:pPr>
          </w:p>
        </w:tc>
        <w:tc>
          <w:tcPr>
            <w:tcW w:w="1772" w:type="dxa"/>
            <w:tcBorders>
              <w:top w:val="single" w:sz="4" w:space="0" w:color="auto"/>
              <w:left w:val="single" w:sz="4" w:space="0" w:color="auto"/>
              <w:bottom w:val="single" w:sz="4" w:space="0" w:color="auto"/>
              <w:right w:val="single" w:sz="4" w:space="0" w:color="auto"/>
            </w:tcBorders>
            <w:vAlign w:val="center"/>
          </w:tcPr>
          <w:p w14:paraId="2346DA4A" w14:textId="77777777" w:rsidR="001B31A4" w:rsidRPr="0021669F" w:rsidRDefault="001B31A4">
            <w:pPr>
              <w:rPr>
                <w:rFonts w:cs="Arial"/>
                <w:szCs w:val="22"/>
              </w:rPr>
            </w:pPr>
          </w:p>
        </w:tc>
      </w:tr>
      <w:tr w:rsidR="003132CB" w:rsidRPr="0021669F" w14:paraId="304C7CB5" w14:textId="77777777" w:rsidTr="001B31A4">
        <w:trPr>
          <w:trHeight w:val="782"/>
          <w:tblHeader/>
        </w:trPr>
        <w:tc>
          <w:tcPr>
            <w:tcW w:w="2265" w:type="dxa"/>
            <w:tcBorders>
              <w:top w:val="single" w:sz="4" w:space="0" w:color="auto"/>
              <w:left w:val="single" w:sz="4" w:space="0" w:color="auto"/>
              <w:bottom w:val="single" w:sz="4" w:space="0" w:color="auto"/>
              <w:right w:val="single" w:sz="4" w:space="0" w:color="auto"/>
            </w:tcBorders>
            <w:hideMark/>
          </w:tcPr>
          <w:p w14:paraId="7CB36688" w14:textId="77777777" w:rsidR="003132CB" w:rsidRPr="0021669F" w:rsidRDefault="003132CB">
            <w:pPr>
              <w:rPr>
                <w:rFonts w:cs="Arial"/>
                <w:szCs w:val="22"/>
              </w:rPr>
            </w:pPr>
            <w:r w:rsidRPr="0021669F">
              <w:rPr>
                <w:rFonts w:cs="Arial"/>
                <w:szCs w:val="22"/>
              </w:rPr>
              <w:t>Proportionate Share of the Net Pension Liability (Asset)</w:t>
            </w:r>
          </w:p>
        </w:tc>
        <w:tc>
          <w:tcPr>
            <w:tcW w:w="1771" w:type="dxa"/>
            <w:tcBorders>
              <w:top w:val="single" w:sz="4" w:space="0" w:color="auto"/>
              <w:left w:val="single" w:sz="4" w:space="0" w:color="auto"/>
              <w:bottom w:val="single" w:sz="4" w:space="0" w:color="auto"/>
              <w:right w:val="single" w:sz="4" w:space="0" w:color="auto"/>
            </w:tcBorders>
            <w:vAlign w:val="center"/>
          </w:tcPr>
          <w:p w14:paraId="09717AA0" w14:textId="77777777" w:rsidR="003132CB" w:rsidRPr="0021669F" w:rsidRDefault="003132CB">
            <w:pPr>
              <w:rPr>
                <w:rFonts w:cs="Arial"/>
                <w:szCs w:val="22"/>
              </w:rPr>
            </w:pPr>
          </w:p>
        </w:tc>
        <w:tc>
          <w:tcPr>
            <w:tcW w:w="1771" w:type="dxa"/>
            <w:tcBorders>
              <w:top w:val="single" w:sz="4" w:space="0" w:color="auto"/>
              <w:left w:val="single" w:sz="4" w:space="0" w:color="auto"/>
              <w:bottom w:val="single" w:sz="4" w:space="0" w:color="auto"/>
              <w:right w:val="single" w:sz="4" w:space="0" w:color="auto"/>
            </w:tcBorders>
            <w:vAlign w:val="center"/>
          </w:tcPr>
          <w:p w14:paraId="617A127B" w14:textId="77777777" w:rsidR="003132CB" w:rsidRPr="0021669F" w:rsidRDefault="003132CB">
            <w:pPr>
              <w:rPr>
                <w:rFonts w:cs="Arial"/>
                <w:szCs w:val="22"/>
              </w:rPr>
            </w:pPr>
          </w:p>
        </w:tc>
        <w:tc>
          <w:tcPr>
            <w:tcW w:w="1771" w:type="dxa"/>
            <w:tcBorders>
              <w:top w:val="single" w:sz="4" w:space="0" w:color="auto"/>
              <w:left w:val="single" w:sz="4" w:space="0" w:color="auto"/>
              <w:bottom w:val="single" w:sz="4" w:space="0" w:color="auto"/>
              <w:right w:val="single" w:sz="4" w:space="0" w:color="auto"/>
            </w:tcBorders>
            <w:vAlign w:val="center"/>
          </w:tcPr>
          <w:p w14:paraId="2323E807" w14:textId="77777777" w:rsidR="003132CB" w:rsidRPr="0021669F" w:rsidRDefault="003132CB">
            <w:pPr>
              <w:rPr>
                <w:rFonts w:cs="Arial"/>
                <w:szCs w:val="22"/>
              </w:rPr>
            </w:pPr>
          </w:p>
        </w:tc>
        <w:tc>
          <w:tcPr>
            <w:tcW w:w="1772" w:type="dxa"/>
            <w:tcBorders>
              <w:top w:val="single" w:sz="4" w:space="0" w:color="auto"/>
              <w:left w:val="single" w:sz="4" w:space="0" w:color="auto"/>
              <w:bottom w:val="single" w:sz="4" w:space="0" w:color="auto"/>
              <w:right w:val="single" w:sz="4" w:space="0" w:color="auto"/>
            </w:tcBorders>
            <w:vAlign w:val="center"/>
          </w:tcPr>
          <w:p w14:paraId="33892B3C" w14:textId="77777777" w:rsidR="003132CB" w:rsidRPr="0021669F" w:rsidRDefault="003132CB">
            <w:pPr>
              <w:rPr>
                <w:rFonts w:cs="Arial"/>
                <w:szCs w:val="22"/>
              </w:rPr>
            </w:pPr>
          </w:p>
        </w:tc>
      </w:tr>
    </w:tbl>
    <w:p w14:paraId="0158F26A" w14:textId="4038F94D" w:rsidR="003132CB" w:rsidRPr="0021669F" w:rsidRDefault="001B31A4" w:rsidP="003132CB">
      <w:pPr>
        <w:rPr>
          <w:rFonts w:cs="Arial"/>
          <w:sz w:val="20"/>
        </w:rPr>
      </w:pPr>
      <w:r w:rsidRPr="0021669F">
        <w:rPr>
          <w:rFonts w:cs="Arial"/>
          <w:szCs w:val="22"/>
        </w:rPr>
        <w:t>*</w:t>
      </w:r>
      <w:r w:rsidRPr="0021669F">
        <w:rPr>
          <w:rFonts w:cs="Arial"/>
          <w:sz w:val="20"/>
        </w:rPr>
        <w:t xml:space="preserve">PERS 1 and TRS 1proportionate shares </w:t>
      </w:r>
      <w:r w:rsidR="00D63CBD">
        <w:rPr>
          <w:rFonts w:cs="Arial"/>
          <w:sz w:val="20"/>
        </w:rPr>
        <w:t>are</w:t>
      </w:r>
      <w:r w:rsidRPr="0021669F">
        <w:rPr>
          <w:rFonts w:cs="Arial"/>
          <w:sz w:val="20"/>
        </w:rPr>
        <w:t xml:space="preserve"> based on compensation.</w:t>
      </w:r>
    </w:p>
    <w:p w14:paraId="6252645B" w14:textId="77777777" w:rsidR="001B31A4" w:rsidRPr="0021669F" w:rsidRDefault="001B31A4" w:rsidP="003132CB">
      <w:pPr>
        <w:rPr>
          <w:rFonts w:cs="Arial"/>
          <w:szCs w:val="22"/>
        </w:rPr>
      </w:pPr>
    </w:p>
    <w:p w14:paraId="4C588AFF" w14:textId="7F6D05C2" w:rsidR="003132CB" w:rsidRPr="0021669F" w:rsidRDefault="003132CB" w:rsidP="003132CB">
      <w:pPr>
        <w:rPr>
          <w:szCs w:val="22"/>
        </w:rPr>
      </w:pPr>
      <w:proofErr w:type="gramStart"/>
      <w:r w:rsidRPr="0021669F">
        <w:rPr>
          <w:szCs w:val="22"/>
        </w:rPr>
        <w:t>At</w:t>
      </w:r>
      <w:proofErr w:type="gramEnd"/>
      <w:r w:rsidRPr="0021669F">
        <w:rPr>
          <w:szCs w:val="22"/>
        </w:rPr>
        <w:t xml:space="preserve"> </w:t>
      </w:r>
      <w:r w:rsidRPr="0021669F">
        <w:rPr>
          <w:bCs/>
          <w:szCs w:val="22"/>
        </w:rPr>
        <w:t>June 30,</w:t>
      </w:r>
      <w:r w:rsidRPr="0021669F">
        <w:rPr>
          <w:b/>
          <w:szCs w:val="22"/>
        </w:rPr>
        <w:t xml:space="preserve"> </w:t>
      </w:r>
      <w:r w:rsidRPr="0021669F">
        <w:rPr>
          <w:szCs w:val="22"/>
        </w:rPr>
        <w:t>202</w:t>
      </w:r>
      <w:r w:rsidR="006A10FB" w:rsidRPr="0021669F">
        <w:rPr>
          <w:szCs w:val="22"/>
        </w:rPr>
        <w:t>6</w:t>
      </w:r>
      <w:r w:rsidRPr="0021669F">
        <w:rPr>
          <w:szCs w:val="22"/>
        </w:rPr>
        <w:t xml:space="preserve">, the school district’s percentage of the proportionate share of the collective net pension amount was as follows and the change in the allocation percentage from the prior period is illustrated below. </w:t>
      </w:r>
    </w:p>
    <w:p w14:paraId="7BD94535" w14:textId="77777777" w:rsidR="003132CB" w:rsidRPr="0021669F" w:rsidRDefault="003132CB" w:rsidP="003132CB">
      <w:pPr>
        <w:rPr>
          <w:rFonts w:cs="Arial"/>
          <w:szCs w:val="22"/>
        </w:rPr>
      </w:pPr>
    </w:p>
    <w:tbl>
      <w:tblPr>
        <w:tblStyle w:val="TableGrid"/>
        <w:tblW w:w="9547" w:type="dxa"/>
        <w:tblLook w:val="04A0" w:firstRow="1" w:lastRow="0" w:firstColumn="1" w:lastColumn="0" w:noHBand="0" w:noVBand="1"/>
        <w:tblCaption w:val="Change in Proportionate Shares"/>
      </w:tblPr>
      <w:tblGrid>
        <w:gridCol w:w="3348"/>
        <w:gridCol w:w="1620"/>
        <w:gridCol w:w="1530"/>
        <w:gridCol w:w="1440"/>
        <w:gridCol w:w="1609"/>
      </w:tblGrid>
      <w:tr w:rsidR="003132CB" w:rsidRPr="0021669F" w14:paraId="2C7090FB" w14:textId="77777777" w:rsidTr="003132CB">
        <w:trPr>
          <w:trHeight w:val="557"/>
          <w:tblHeader/>
        </w:trPr>
        <w:tc>
          <w:tcPr>
            <w:tcW w:w="33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40EF20" w14:textId="77777777" w:rsidR="003132CB" w:rsidRPr="0021669F" w:rsidRDefault="003132CB">
            <w:pPr>
              <w:rPr>
                <w:rFonts w:cs="Arial"/>
                <w:bCs/>
                <w:szCs w:val="22"/>
              </w:rPr>
            </w:pPr>
            <w:r w:rsidRPr="0021669F">
              <w:rPr>
                <w:rFonts w:cs="Arial"/>
                <w:bCs/>
                <w:szCs w:val="22"/>
              </w:rPr>
              <w:lastRenderedPageBreak/>
              <w:t>Change in Proportionate Shares</w:t>
            </w:r>
          </w:p>
        </w:tc>
        <w:tc>
          <w:tcPr>
            <w:tcW w:w="1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22759E" w14:textId="77777777" w:rsidR="003132CB" w:rsidRPr="0021669F" w:rsidRDefault="003132CB">
            <w:pPr>
              <w:jc w:val="center"/>
              <w:rPr>
                <w:rFonts w:cs="Arial"/>
                <w:szCs w:val="22"/>
              </w:rPr>
            </w:pPr>
            <w:r w:rsidRPr="0021669F">
              <w:rPr>
                <w:rFonts w:cs="Arial"/>
                <w:szCs w:val="22"/>
              </w:rPr>
              <w:t>PERS 1</w:t>
            </w:r>
          </w:p>
        </w:tc>
        <w:tc>
          <w:tcPr>
            <w:tcW w:w="15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0703D1" w14:textId="77777777" w:rsidR="003132CB" w:rsidRPr="0021669F" w:rsidRDefault="003132CB">
            <w:pPr>
              <w:jc w:val="center"/>
              <w:rPr>
                <w:rFonts w:cs="Arial"/>
                <w:szCs w:val="22"/>
              </w:rPr>
            </w:pPr>
            <w:r w:rsidRPr="0021669F">
              <w:rPr>
                <w:rFonts w:cs="Arial"/>
                <w:szCs w:val="22"/>
              </w:rPr>
              <w:t>SERS 2/3</w:t>
            </w:r>
          </w:p>
        </w:tc>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2A4575" w14:textId="77777777" w:rsidR="003132CB" w:rsidRPr="0021669F" w:rsidRDefault="003132CB">
            <w:pPr>
              <w:jc w:val="center"/>
              <w:rPr>
                <w:rFonts w:cs="Arial"/>
                <w:szCs w:val="22"/>
              </w:rPr>
            </w:pPr>
            <w:r w:rsidRPr="0021669F">
              <w:rPr>
                <w:rFonts w:cs="Arial"/>
                <w:szCs w:val="22"/>
              </w:rPr>
              <w:t>TRS 1</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B7A637" w14:textId="77777777" w:rsidR="003132CB" w:rsidRPr="0021669F" w:rsidRDefault="003132CB">
            <w:pPr>
              <w:jc w:val="center"/>
              <w:rPr>
                <w:rFonts w:cs="Arial"/>
                <w:szCs w:val="22"/>
              </w:rPr>
            </w:pPr>
            <w:r w:rsidRPr="0021669F">
              <w:rPr>
                <w:rFonts w:cs="Arial"/>
                <w:szCs w:val="22"/>
              </w:rPr>
              <w:t>TRS 2/3</w:t>
            </w:r>
          </w:p>
        </w:tc>
      </w:tr>
      <w:tr w:rsidR="003132CB" w:rsidRPr="0021669F" w14:paraId="5150D608" w14:textId="77777777" w:rsidTr="003132CB">
        <w:trPr>
          <w:trHeight w:val="557"/>
          <w:tblHeader/>
        </w:trPr>
        <w:tc>
          <w:tcPr>
            <w:tcW w:w="3348" w:type="dxa"/>
            <w:tcBorders>
              <w:top w:val="single" w:sz="4" w:space="0" w:color="auto"/>
              <w:left w:val="single" w:sz="4" w:space="0" w:color="auto"/>
              <w:bottom w:val="single" w:sz="4" w:space="0" w:color="auto"/>
              <w:right w:val="single" w:sz="4" w:space="0" w:color="auto"/>
            </w:tcBorders>
            <w:vAlign w:val="center"/>
            <w:hideMark/>
          </w:tcPr>
          <w:p w14:paraId="7576B08B" w14:textId="77777777" w:rsidR="003132CB" w:rsidRPr="0021669F" w:rsidRDefault="003132CB">
            <w:pPr>
              <w:rPr>
                <w:rFonts w:cs="Arial"/>
                <w:szCs w:val="22"/>
              </w:rPr>
            </w:pPr>
            <w:proofErr w:type="gramStart"/>
            <w:r w:rsidRPr="0021669F">
              <w:rPr>
                <w:rFonts w:cs="Arial"/>
                <w:szCs w:val="22"/>
              </w:rPr>
              <w:t>Current year</w:t>
            </w:r>
            <w:proofErr w:type="gramEnd"/>
            <w:r w:rsidRPr="0021669F">
              <w:rPr>
                <w:rFonts w:cs="Arial"/>
                <w:szCs w:val="22"/>
              </w:rPr>
              <w:t xml:space="preserve"> proportionate share </w:t>
            </w:r>
          </w:p>
        </w:tc>
        <w:tc>
          <w:tcPr>
            <w:tcW w:w="1620" w:type="dxa"/>
            <w:tcBorders>
              <w:top w:val="single" w:sz="4" w:space="0" w:color="auto"/>
              <w:left w:val="single" w:sz="4" w:space="0" w:color="auto"/>
              <w:bottom w:val="single" w:sz="4" w:space="0" w:color="auto"/>
              <w:right w:val="single" w:sz="4" w:space="0" w:color="auto"/>
            </w:tcBorders>
            <w:vAlign w:val="center"/>
          </w:tcPr>
          <w:p w14:paraId="655FA9A6" w14:textId="77777777" w:rsidR="003132CB" w:rsidRPr="0021669F" w:rsidRDefault="003132CB">
            <w:pPr>
              <w:jc w:val="center"/>
              <w:rPr>
                <w:rFonts w:cs="Arial"/>
                <w:szCs w:val="22"/>
              </w:rPr>
            </w:pPr>
          </w:p>
        </w:tc>
        <w:tc>
          <w:tcPr>
            <w:tcW w:w="1530" w:type="dxa"/>
            <w:tcBorders>
              <w:top w:val="single" w:sz="4" w:space="0" w:color="auto"/>
              <w:left w:val="single" w:sz="4" w:space="0" w:color="auto"/>
              <w:bottom w:val="single" w:sz="4" w:space="0" w:color="auto"/>
              <w:right w:val="single" w:sz="4" w:space="0" w:color="auto"/>
            </w:tcBorders>
            <w:vAlign w:val="center"/>
          </w:tcPr>
          <w:p w14:paraId="21FC278A" w14:textId="77777777" w:rsidR="003132CB" w:rsidRPr="0021669F" w:rsidRDefault="003132CB">
            <w:pPr>
              <w:jc w:val="center"/>
              <w:rPr>
                <w:rFonts w:cs="Arial"/>
                <w:szCs w:val="22"/>
              </w:rPr>
            </w:pPr>
          </w:p>
        </w:tc>
        <w:tc>
          <w:tcPr>
            <w:tcW w:w="1440" w:type="dxa"/>
            <w:tcBorders>
              <w:top w:val="single" w:sz="4" w:space="0" w:color="auto"/>
              <w:left w:val="single" w:sz="4" w:space="0" w:color="auto"/>
              <w:bottom w:val="single" w:sz="4" w:space="0" w:color="auto"/>
              <w:right w:val="single" w:sz="4" w:space="0" w:color="auto"/>
            </w:tcBorders>
            <w:vAlign w:val="center"/>
          </w:tcPr>
          <w:p w14:paraId="618591A1" w14:textId="77777777" w:rsidR="003132CB" w:rsidRPr="0021669F" w:rsidRDefault="003132CB">
            <w:pPr>
              <w:jc w:val="center"/>
              <w:rPr>
                <w:rFonts w:cs="Arial"/>
                <w:szCs w:val="22"/>
              </w:rPr>
            </w:pPr>
          </w:p>
        </w:tc>
        <w:tc>
          <w:tcPr>
            <w:tcW w:w="1609" w:type="dxa"/>
            <w:tcBorders>
              <w:top w:val="single" w:sz="4" w:space="0" w:color="auto"/>
              <w:left w:val="single" w:sz="4" w:space="0" w:color="auto"/>
              <w:bottom w:val="single" w:sz="4" w:space="0" w:color="auto"/>
              <w:right w:val="single" w:sz="4" w:space="0" w:color="auto"/>
            </w:tcBorders>
            <w:vAlign w:val="center"/>
          </w:tcPr>
          <w:p w14:paraId="5C30A5AD" w14:textId="77777777" w:rsidR="003132CB" w:rsidRPr="0021669F" w:rsidRDefault="003132CB">
            <w:pPr>
              <w:jc w:val="center"/>
              <w:rPr>
                <w:rFonts w:cs="Arial"/>
                <w:szCs w:val="22"/>
              </w:rPr>
            </w:pPr>
          </w:p>
        </w:tc>
      </w:tr>
      <w:tr w:rsidR="003132CB" w:rsidRPr="0021669F" w14:paraId="1837F6FE" w14:textId="77777777" w:rsidTr="003132CB">
        <w:trPr>
          <w:trHeight w:val="557"/>
          <w:tblHeader/>
        </w:trPr>
        <w:tc>
          <w:tcPr>
            <w:tcW w:w="3348" w:type="dxa"/>
            <w:tcBorders>
              <w:top w:val="single" w:sz="4" w:space="0" w:color="auto"/>
              <w:left w:val="single" w:sz="4" w:space="0" w:color="auto"/>
              <w:bottom w:val="single" w:sz="4" w:space="0" w:color="auto"/>
              <w:right w:val="single" w:sz="4" w:space="0" w:color="auto"/>
            </w:tcBorders>
            <w:vAlign w:val="center"/>
            <w:hideMark/>
          </w:tcPr>
          <w:p w14:paraId="252FD83C" w14:textId="77777777" w:rsidR="003132CB" w:rsidRPr="0021669F" w:rsidRDefault="003132CB">
            <w:pPr>
              <w:rPr>
                <w:rFonts w:cs="Arial"/>
                <w:szCs w:val="22"/>
              </w:rPr>
            </w:pPr>
            <w:r w:rsidRPr="0021669F">
              <w:rPr>
                <w:rFonts w:cs="Arial"/>
                <w:szCs w:val="22"/>
              </w:rPr>
              <w:t xml:space="preserve">Prior year proportionate share </w:t>
            </w:r>
          </w:p>
        </w:tc>
        <w:tc>
          <w:tcPr>
            <w:tcW w:w="1620" w:type="dxa"/>
            <w:tcBorders>
              <w:top w:val="single" w:sz="4" w:space="0" w:color="auto"/>
              <w:left w:val="single" w:sz="4" w:space="0" w:color="auto"/>
              <w:bottom w:val="single" w:sz="4" w:space="0" w:color="auto"/>
              <w:right w:val="single" w:sz="4" w:space="0" w:color="auto"/>
            </w:tcBorders>
            <w:vAlign w:val="center"/>
          </w:tcPr>
          <w:p w14:paraId="37873BC8" w14:textId="77777777" w:rsidR="003132CB" w:rsidRPr="0021669F" w:rsidRDefault="003132CB">
            <w:pPr>
              <w:jc w:val="center"/>
              <w:rPr>
                <w:rFonts w:cs="Arial"/>
                <w:szCs w:val="22"/>
              </w:rPr>
            </w:pPr>
          </w:p>
        </w:tc>
        <w:tc>
          <w:tcPr>
            <w:tcW w:w="1530" w:type="dxa"/>
            <w:tcBorders>
              <w:top w:val="single" w:sz="4" w:space="0" w:color="auto"/>
              <w:left w:val="single" w:sz="4" w:space="0" w:color="auto"/>
              <w:bottom w:val="single" w:sz="4" w:space="0" w:color="auto"/>
              <w:right w:val="single" w:sz="4" w:space="0" w:color="auto"/>
            </w:tcBorders>
            <w:vAlign w:val="center"/>
          </w:tcPr>
          <w:p w14:paraId="5A0D3428" w14:textId="77777777" w:rsidR="003132CB" w:rsidRPr="0021669F" w:rsidRDefault="003132CB">
            <w:pPr>
              <w:jc w:val="center"/>
              <w:rPr>
                <w:rFonts w:cs="Arial"/>
                <w:szCs w:val="22"/>
              </w:rPr>
            </w:pPr>
          </w:p>
        </w:tc>
        <w:tc>
          <w:tcPr>
            <w:tcW w:w="1440" w:type="dxa"/>
            <w:tcBorders>
              <w:top w:val="single" w:sz="4" w:space="0" w:color="auto"/>
              <w:left w:val="single" w:sz="4" w:space="0" w:color="auto"/>
              <w:bottom w:val="single" w:sz="4" w:space="0" w:color="auto"/>
              <w:right w:val="single" w:sz="4" w:space="0" w:color="auto"/>
            </w:tcBorders>
            <w:vAlign w:val="center"/>
          </w:tcPr>
          <w:p w14:paraId="4796CDD4" w14:textId="77777777" w:rsidR="003132CB" w:rsidRPr="0021669F" w:rsidRDefault="003132CB">
            <w:pPr>
              <w:jc w:val="center"/>
              <w:rPr>
                <w:rFonts w:cs="Arial"/>
                <w:szCs w:val="22"/>
              </w:rPr>
            </w:pPr>
          </w:p>
        </w:tc>
        <w:tc>
          <w:tcPr>
            <w:tcW w:w="1609" w:type="dxa"/>
            <w:tcBorders>
              <w:top w:val="single" w:sz="4" w:space="0" w:color="auto"/>
              <w:left w:val="single" w:sz="4" w:space="0" w:color="auto"/>
              <w:bottom w:val="single" w:sz="4" w:space="0" w:color="auto"/>
              <w:right w:val="single" w:sz="4" w:space="0" w:color="auto"/>
            </w:tcBorders>
            <w:vAlign w:val="center"/>
          </w:tcPr>
          <w:p w14:paraId="7F631C0C" w14:textId="77777777" w:rsidR="003132CB" w:rsidRPr="0021669F" w:rsidRDefault="003132CB">
            <w:pPr>
              <w:jc w:val="center"/>
              <w:rPr>
                <w:rFonts w:cs="Arial"/>
                <w:szCs w:val="22"/>
              </w:rPr>
            </w:pPr>
          </w:p>
        </w:tc>
      </w:tr>
      <w:tr w:rsidR="003132CB" w:rsidRPr="0021669F" w14:paraId="5E2810E0" w14:textId="77777777" w:rsidTr="003132CB">
        <w:trPr>
          <w:trHeight w:val="557"/>
          <w:tblHeader/>
        </w:trPr>
        <w:tc>
          <w:tcPr>
            <w:tcW w:w="3348" w:type="dxa"/>
            <w:tcBorders>
              <w:top w:val="single" w:sz="4" w:space="0" w:color="auto"/>
              <w:left w:val="single" w:sz="4" w:space="0" w:color="auto"/>
              <w:bottom w:val="single" w:sz="4" w:space="0" w:color="auto"/>
              <w:right w:val="single" w:sz="4" w:space="0" w:color="auto"/>
            </w:tcBorders>
            <w:vAlign w:val="center"/>
            <w:hideMark/>
          </w:tcPr>
          <w:p w14:paraId="360B20DA" w14:textId="77777777" w:rsidR="003132CB" w:rsidRPr="0021669F" w:rsidRDefault="003132CB">
            <w:pPr>
              <w:rPr>
                <w:rFonts w:cs="Arial"/>
                <w:bCs/>
                <w:szCs w:val="22"/>
              </w:rPr>
            </w:pPr>
            <w:r w:rsidRPr="0021669F">
              <w:rPr>
                <w:rFonts w:cs="Arial"/>
                <w:bCs/>
                <w:szCs w:val="22"/>
              </w:rPr>
              <w:t>Net difference percentage</w:t>
            </w:r>
          </w:p>
        </w:tc>
        <w:tc>
          <w:tcPr>
            <w:tcW w:w="1620" w:type="dxa"/>
            <w:tcBorders>
              <w:top w:val="single" w:sz="4" w:space="0" w:color="auto"/>
              <w:left w:val="single" w:sz="4" w:space="0" w:color="auto"/>
              <w:bottom w:val="single" w:sz="4" w:space="0" w:color="auto"/>
              <w:right w:val="single" w:sz="4" w:space="0" w:color="auto"/>
            </w:tcBorders>
            <w:vAlign w:val="center"/>
          </w:tcPr>
          <w:p w14:paraId="63F815F9" w14:textId="77777777" w:rsidR="003132CB" w:rsidRPr="0021669F" w:rsidRDefault="003132CB">
            <w:pPr>
              <w:jc w:val="center"/>
              <w:rPr>
                <w:rFonts w:cs="Arial"/>
                <w:b/>
                <w:bCs/>
                <w:szCs w:val="22"/>
              </w:rPr>
            </w:pPr>
          </w:p>
        </w:tc>
        <w:tc>
          <w:tcPr>
            <w:tcW w:w="1530" w:type="dxa"/>
            <w:tcBorders>
              <w:top w:val="single" w:sz="4" w:space="0" w:color="auto"/>
              <w:left w:val="single" w:sz="4" w:space="0" w:color="auto"/>
              <w:bottom w:val="single" w:sz="4" w:space="0" w:color="auto"/>
              <w:right w:val="single" w:sz="4" w:space="0" w:color="auto"/>
            </w:tcBorders>
            <w:vAlign w:val="center"/>
          </w:tcPr>
          <w:p w14:paraId="3F6FD5F0" w14:textId="77777777" w:rsidR="003132CB" w:rsidRPr="0021669F" w:rsidRDefault="003132CB">
            <w:pPr>
              <w:jc w:val="center"/>
              <w:rPr>
                <w:rFonts w:cs="Arial"/>
                <w:b/>
                <w:bCs/>
                <w:szCs w:val="22"/>
              </w:rPr>
            </w:pPr>
          </w:p>
        </w:tc>
        <w:tc>
          <w:tcPr>
            <w:tcW w:w="1440" w:type="dxa"/>
            <w:tcBorders>
              <w:top w:val="single" w:sz="4" w:space="0" w:color="auto"/>
              <w:left w:val="single" w:sz="4" w:space="0" w:color="auto"/>
              <w:bottom w:val="single" w:sz="4" w:space="0" w:color="auto"/>
              <w:right w:val="single" w:sz="4" w:space="0" w:color="auto"/>
            </w:tcBorders>
            <w:vAlign w:val="center"/>
          </w:tcPr>
          <w:p w14:paraId="406F21EB" w14:textId="77777777" w:rsidR="003132CB" w:rsidRPr="0021669F" w:rsidRDefault="003132CB">
            <w:pPr>
              <w:jc w:val="center"/>
              <w:rPr>
                <w:rFonts w:cs="Arial"/>
                <w:b/>
                <w:bCs/>
                <w:szCs w:val="22"/>
              </w:rPr>
            </w:pPr>
          </w:p>
        </w:tc>
        <w:tc>
          <w:tcPr>
            <w:tcW w:w="1609" w:type="dxa"/>
            <w:tcBorders>
              <w:top w:val="single" w:sz="4" w:space="0" w:color="auto"/>
              <w:left w:val="single" w:sz="4" w:space="0" w:color="auto"/>
              <w:bottom w:val="single" w:sz="4" w:space="0" w:color="auto"/>
              <w:right w:val="single" w:sz="4" w:space="0" w:color="auto"/>
            </w:tcBorders>
            <w:vAlign w:val="center"/>
          </w:tcPr>
          <w:p w14:paraId="02750406" w14:textId="77777777" w:rsidR="003132CB" w:rsidRPr="0021669F" w:rsidRDefault="003132CB">
            <w:pPr>
              <w:jc w:val="center"/>
              <w:rPr>
                <w:rFonts w:cs="Arial"/>
                <w:b/>
                <w:bCs/>
                <w:szCs w:val="22"/>
              </w:rPr>
            </w:pPr>
          </w:p>
        </w:tc>
      </w:tr>
    </w:tbl>
    <w:p w14:paraId="421C5225" w14:textId="77777777" w:rsidR="003132CB" w:rsidRPr="0021669F" w:rsidRDefault="003132CB" w:rsidP="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Arial"/>
          <w:bCs/>
        </w:rPr>
      </w:pPr>
    </w:p>
    <w:p w14:paraId="53882E15" w14:textId="77777777" w:rsidR="003132CB" w:rsidRPr="0021669F" w:rsidRDefault="003132CB" w:rsidP="003132CB">
      <w:pPr>
        <w:pStyle w:val="Heading2"/>
      </w:pPr>
      <w:r w:rsidRPr="0021669F">
        <w:t xml:space="preserve">Actuarial Assumptions </w:t>
      </w:r>
    </w:p>
    <w:p w14:paraId="2A5CB0E6" w14:textId="77777777" w:rsidR="003132CB" w:rsidRPr="0021669F" w:rsidRDefault="003132CB" w:rsidP="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Arial"/>
          <w:szCs w:val="22"/>
        </w:rPr>
      </w:pPr>
    </w:p>
    <w:p w14:paraId="40FB3628" w14:textId="3B4DBB55" w:rsidR="003132CB" w:rsidRPr="0021669F" w:rsidRDefault="003132CB" w:rsidP="003132C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Segoe UI"/>
          <w:szCs w:val="22"/>
        </w:rPr>
      </w:pPr>
      <w:r w:rsidRPr="0021669F">
        <w:rPr>
          <w:rFonts w:cs="Segoe UI"/>
          <w:szCs w:val="22"/>
        </w:rPr>
        <w:t xml:space="preserve">The total pension liabilities for TRS 1, TRS 2/3, PERS 1 and SERS 2/3 were determined </w:t>
      </w:r>
      <w:r w:rsidR="0042776B" w:rsidRPr="0021669F">
        <w:rPr>
          <w:rFonts w:cs="Segoe UI"/>
          <w:szCs w:val="22"/>
        </w:rPr>
        <w:t xml:space="preserve">using the most recent </w:t>
      </w:r>
      <w:r w:rsidRPr="0021669F">
        <w:rPr>
          <w:rFonts w:cs="Segoe UI"/>
          <w:szCs w:val="22"/>
        </w:rPr>
        <w:t>actuarial valuation as of June 30, 202</w:t>
      </w:r>
      <w:r w:rsidR="0042776B" w:rsidRPr="0021669F">
        <w:rPr>
          <w:rFonts w:cs="Segoe UI"/>
          <w:szCs w:val="22"/>
        </w:rPr>
        <w:t>5</w:t>
      </w:r>
      <w:r w:rsidRPr="0021669F">
        <w:rPr>
          <w:rFonts w:cs="Segoe UI"/>
          <w:szCs w:val="22"/>
        </w:rPr>
        <w:t xml:space="preserve">, with the results rolled forward to June 30, </w:t>
      </w:r>
      <w:r w:rsidR="00A36BBF" w:rsidRPr="0021669F">
        <w:rPr>
          <w:rFonts w:cs="Segoe UI"/>
          <w:szCs w:val="22"/>
        </w:rPr>
        <w:t>2026</w:t>
      </w:r>
      <w:r w:rsidRPr="0021669F">
        <w:rPr>
          <w:rFonts w:cs="Segoe UI"/>
          <w:szCs w:val="22"/>
        </w:rPr>
        <w:t>, using the following actuarial assumptions, applied to all prior periods included in the measurement:</w:t>
      </w:r>
    </w:p>
    <w:tbl>
      <w:tblPr>
        <w:tblStyle w:val="TableGrid"/>
        <w:tblpPr w:leftFromText="180" w:rightFromText="180" w:vertAnchor="text" w:horzAnchor="margin" w:tblpY="166"/>
        <w:tblW w:w="9558" w:type="dxa"/>
        <w:tblLook w:val="04A0" w:firstRow="1" w:lastRow="0" w:firstColumn="1" w:lastColumn="0" w:noHBand="0" w:noVBand="1"/>
        <w:tblCaption w:val="Actuarial Assumptions"/>
      </w:tblPr>
      <w:tblGrid>
        <w:gridCol w:w="2880"/>
        <w:gridCol w:w="6678"/>
      </w:tblGrid>
      <w:tr w:rsidR="003132CB" w:rsidRPr="0021669F" w14:paraId="19B46C29" w14:textId="77777777" w:rsidTr="003132CB">
        <w:trPr>
          <w:tblHeader/>
        </w:trPr>
        <w:tc>
          <w:tcPr>
            <w:tcW w:w="2880" w:type="dxa"/>
            <w:tcBorders>
              <w:top w:val="single" w:sz="4" w:space="0" w:color="auto"/>
              <w:left w:val="single" w:sz="4" w:space="0" w:color="auto"/>
              <w:bottom w:val="single" w:sz="4" w:space="0" w:color="auto"/>
              <w:right w:val="single" w:sz="4" w:space="0" w:color="auto"/>
            </w:tcBorders>
            <w:hideMark/>
          </w:tcPr>
          <w:p w14:paraId="005964C4" w14:textId="77777777" w:rsidR="003132CB" w:rsidRPr="0021669F" w:rsidRDefault="003132CB">
            <w:pPr>
              <w:rPr>
                <w:rFonts w:cs="Arial"/>
                <w:szCs w:val="22"/>
              </w:rPr>
            </w:pPr>
            <w:r w:rsidRPr="0021669F">
              <w:rPr>
                <w:rFonts w:cs="Arial"/>
                <w:szCs w:val="22"/>
              </w:rPr>
              <w:t>Inflation</w:t>
            </w:r>
          </w:p>
        </w:tc>
        <w:tc>
          <w:tcPr>
            <w:tcW w:w="6678" w:type="dxa"/>
            <w:tcBorders>
              <w:top w:val="single" w:sz="4" w:space="0" w:color="auto"/>
              <w:left w:val="single" w:sz="4" w:space="0" w:color="auto"/>
              <w:bottom w:val="single" w:sz="4" w:space="0" w:color="auto"/>
              <w:right w:val="single" w:sz="4" w:space="0" w:color="auto"/>
            </w:tcBorders>
            <w:hideMark/>
          </w:tcPr>
          <w:p w14:paraId="007B6A94" w14:textId="77777777" w:rsidR="003132CB" w:rsidRPr="0021669F" w:rsidRDefault="003132CB">
            <w:pPr>
              <w:rPr>
                <w:rFonts w:cs="Arial"/>
                <w:szCs w:val="22"/>
              </w:rPr>
            </w:pPr>
            <w:r w:rsidRPr="0021669F">
              <w:rPr>
                <w:szCs w:val="22"/>
              </w:rPr>
              <w:t>2.75% total economic inflation, 3.25% salary inflation</w:t>
            </w:r>
          </w:p>
        </w:tc>
      </w:tr>
      <w:tr w:rsidR="003132CB" w:rsidRPr="0021669F" w14:paraId="22AA2940" w14:textId="77777777" w:rsidTr="003132CB">
        <w:trPr>
          <w:tblHeader/>
        </w:trPr>
        <w:tc>
          <w:tcPr>
            <w:tcW w:w="2880" w:type="dxa"/>
            <w:tcBorders>
              <w:top w:val="single" w:sz="4" w:space="0" w:color="auto"/>
              <w:left w:val="single" w:sz="4" w:space="0" w:color="auto"/>
              <w:bottom w:val="single" w:sz="4" w:space="0" w:color="auto"/>
              <w:right w:val="single" w:sz="4" w:space="0" w:color="auto"/>
            </w:tcBorders>
            <w:hideMark/>
          </w:tcPr>
          <w:p w14:paraId="39A6322E" w14:textId="77777777" w:rsidR="003132CB" w:rsidRPr="0021669F" w:rsidRDefault="003132CB">
            <w:pPr>
              <w:rPr>
                <w:rFonts w:cs="Arial"/>
                <w:szCs w:val="22"/>
              </w:rPr>
            </w:pPr>
            <w:r w:rsidRPr="0021669F">
              <w:rPr>
                <w:rFonts w:cs="Arial"/>
                <w:szCs w:val="22"/>
              </w:rPr>
              <w:t>Salary increases</w:t>
            </w:r>
          </w:p>
        </w:tc>
        <w:tc>
          <w:tcPr>
            <w:tcW w:w="6678" w:type="dxa"/>
            <w:tcBorders>
              <w:top w:val="single" w:sz="4" w:space="0" w:color="auto"/>
              <w:left w:val="single" w:sz="4" w:space="0" w:color="auto"/>
              <w:bottom w:val="single" w:sz="4" w:space="0" w:color="auto"/>
              <w:right w:val="single" w:sz="4" w:space="0" w:color="auto"/>
            </w:tcBorders>
            <w:hideMark/>
          </w:tcPr>
          <w:p w14:paraId="37DFE03C" w14:textId="77777777" w:rsidR="003132CB" w:rsidRPr="0021669F" w:rsidRDefault="003132CB">
            <w:pPr>
              <w:rPr>
                <w:rFonts w:cs="Arial"/>
                <w:szCs w:val="22"/>
              </w:rPr>
            </w:pPr>
            <w:r w:rsidRPr="0021669F">
              <w:rPr>
                <w:szCs w:val="22"/>
              </w:rPr>
              <w:t>In addition to the base 3.25% salary inflation assumption, salaries are also expected to grow by promotions and longevity.</w:t>
            </w:r>
          </w:p>
        </w:tc>
      </w:tr>
      <w:tr w:rsidR="003132CB" w:rsidRPr="0021669F" w14:paraId="051482EE" w14:textId="77777777" w:rsidTr="003132CB">
        <w:trPr>
          <w:tblHeader/>
        </w:trPr>
        <w:tc>
          <w:tcPr>
            <w:tcW w:w="2880" w:type="dxa"/>
            <w:tcBorders>
              <w:top w:val="single" w:sz="4" w:space="0" w:color="auto"/>
              <w:left w:val="single" w:sz="4" w:space="0" w:color="auto"/>
              <w:bottom w:val="single" w:sz="4" w:space="0" w:color="auto"/>
              <w:right w:val="single" w:sz="4" w:space="0" w:color="auto"/>
            </w:tcBorders>
            <w:hideMark/>
          </w:tcPr>
          <w:p w14:paraId="74FD52B7" w14:textId="77777777" w:rsidR="003132CB" w:rsidRPr="0021669F" w:rsidRDefault="003132CB">
            <w:pPr>
              <w:rPr>
                <w:rFonts w:cs="Arial"/>
                <w:szCs w:val="22"/>
              </w:rPr>
            </w:pPr>
            <w:r w:rsidRPr="0021669F">
              <w:rPr>
                <w:rFonts w:cs="Arial"/>
                <w:szCs w:val="22"/>
              </w:rPr>
              <w:t>Investment rate of return</w:t>
            </w:r>
          </w:p>
        </w:tc>
        <w:tc>
          <w:tcPr>
            <w:tcW w:w="6678" w:type="dxa"/>
            <w:tcBorders>
              <w:top w:val="single" w:sz="4" w:space="0" w:color="auto"/>
              <w:left w:val="single" w:sz="4" w:space="0" w:color="auto"/>
              <w:bottom w:val="single" w:sz="4" w:space="0" w:color="auto"/>
              <w:right w:val="single" w:sz="4" w:space="0" w:color="auto"/>
            </w:tcBorders>
            <w:hideMark/>
          </w:tcPr>
          <w:p w14:paraId="355B27D9" w14:textId="55B66706" w:rsidR="003132CB" w:rsidRPr="0021669F" w:rsidRDefault="003132CB">
            <w:pPr>
              <w:rPr>
                <w:rFonts w:cs="Arial"/>
                <w:szCs w:val="22"/>
              </w:rPr>
            </w:pPr>
            <w:r w:rsidRPr="0021669F">
              <w:rPr>
                <w:szCs w:val="22"/>
              </w:rPr>
              <w:t>7.</w:t>
            </w:r>
            <w:r w:rsidR="00246B3D" w:rsidRPr="0021669F">
              <w:rPr>
                <w:szCs w:val="22"/>
              </w:rPr>
              <w:t>25</w:t>
            </w:r>
            <w:r w:rsidRPr="0021669F">
              <w:rPr>
                <w:szCs w:val="22"/>
              </w:rPr>
              <w:t xml:space="preserve">% </w:t>
            </w:r>
          </w:p>
        </w:tc>
      </w:tr>
    </w:tbl>
    <w:p w14:paraId="7EEFA8CB" w14:textId="77777777" w:rsidR="003132CB" w:rsidRPr="0021669F" w:rsidRDefault="003132CB" w:rsidP="003132CB">
      <w:pPr>
        <w:rPr>
          <w:rFonts w:cs="Arial"/>
          <w:szCs w:val="22"/>
          <w:u w:val="single"/>
        </w:rPr>
      </w:pPr>
    </w:p>
    <w:p w14:paraId="4B2B66C3" w14:textId="77777777" w:rsidR="003132CB" w:rsidRPr="0021669F" w:rsidRDefault="003132CB" w:rsidP="003132CB">
      <w:pPr>
        <w:pStyle w:val="Heading4"/>
        <w:ind w:left="0"/>
      </w:pPr>
      <w:r w:rsidRPr="0021669F">
        <w:t xml:space="preserve">Mortality Rates </w:t>
      </w:r>
    </w:p>
    <w:p w14:paraId="5B1219C9" w14:textId="03ABC919" w:rsidR="003132CB" w:rsidRPr="0021669F" w:rsidRDefault="003132CB" w:rsidP="003132CB">
      <w:pPr>
        <w:rPr>
          <w:rFonts w:cs="Segoe UI"/>
          <w:szCs w:val="22"/>
        </w:rPr>
      </w:pPr>
      <w:r w:rsidRPr="0021669F">
        <w:rPr>
          <w:rFonts w:cs="Segoe UI"/>
          <w:szCs w:val="22"/>
        </w:rPr>
        <w:t>Mortality rates used in the plans were developed using the Society of Actuaries’ Pub-201</w:t>
      </w:r>
      <w:r w:rsidR="0042776B" w:rsidRPr="0021669F">
        <w:rPr>
          <w:rFonts w:cs="Segoe UI"/>
          <w:szCs w:val="22"/>
        </w:rPr>
        <w:t>6</w:t>
      </w:r>
      <w:r w:rsidRPr="0021669F">
        <w:rPr>
          <w:rFonts w:cs="Segoe UI"/>
          <w:szCs w:val="22"/>
        </w:rPr>
        <w:t xml:space="preserve"> </w:t>
      </w:r>
      <w:r w:rsidR="008A1073" w:rsidRPr="0021669F">
        <w:rPr>
          <w:rFonts w:cs="Segoe UI"/>
          <w:szCs w:val="22"/>
        </w:rPr>
        <w:t>m</w:t>
      </w:r>
      <w:r w:rsidRPr="0021669F">
        <w:rPr>
          <w:rFonts w:cs="Segoe UI"/>
          <w:szCs w:val="22"/>
        </w:rPr>
        <w:t>ortality rates, which vary by member status as the base table. OSA applies age offsets for each system to better tailor the mortality rates to the demographics of each plan. OSA applied the long-term MP-20</w:t>
      </w:r>
      <w:r w:rsidR="00246B3D" w:rsidRPr="0021669F">
        <w:rPr>
          <w:rFonts w:cs="Segoe UI"/>
          <w:szCs w:val="22"/>
        </w:rPr>
        <w:t>21</w:t>
      </w:r>
      <w:r w:rsidRPr="0021669F">
        <w:rPr>
          <w:rFonts w:cs="Segoe UI"/>
          <w:szCs w:val="22"/>
        </w:rPr>
        <w:t xml:space="preserve"> generational improvement scale to project mortality rates for every year after the </w:t>
      </w:r>
      <w:r w:rsidR="00246B3D" w:rsidRPr="0021669F">
        <w:rPr>
          <w:rFonts w:cs="Segoe UI"/>
          <w:szCs w:val="22"/>
        </w:rPr>
        <w:t xml:space="preserve">2016 </w:t>
      </w:r>
      <w:r w:rsidRPr="0021669F">
        <w:rPr>
          <w:rFonts w:cs="Segoe UI"/>
          <w:szCs w:val="22"/>
        </w:rPr>
        <w:t>base table. The actuarial assumptions used in the June 30, 202</w:t>
      </w:r>
      <w:r w:rsidR="0042776B" w:rsidRPr="0021669F">
        <w:rPr>
          <w:rFonts w:cs="Segoe UI"/>
          <w:szCs w:val="22"/>
        </w:rPr>
        <w:t>5</w:t>
      </w:r>
      <w:r w:rsidRPr="0021669F">
        <w:rPr>
          <w:rFonts w:cs="Segoe UI"/>
          <w:szCs w:val="22"/>
        </w:rPr>
        <w:t xml:space="preserve">, valuation were based on the results of the </w:t>
      </w:r>
      <w:r w:rsidRPr="0021669F">
        <w:rPr>
          <w:rFonts w:cs="Segoe UI"/>
          <w:i/>
          <w:szCs w:val="22"/>
        </w:rPr>
        <w:t>201</w:t>
      </w:r>
      <w:r w:rsidR="008A1073" w:rsidRPr="0021669F">
        <w:rPr>
          <w:rFonts w:cs="Segoe UI"/>
          <w:i/>
          <w:szCs w:val="22"/>
        </w:rPr>
        <w:t>9</w:t>
      </w:r>
      <w:r w:rsidRPr="0021669F">
        <w:rPr>
          <w:rFonts w:cs="Segoe UI"/>
          <w:i/>
          <w:szCs w:val="22"/>
        </w:rPr>
        <w:t>–20</w:t>
      </w:r>
      <w:r w:rsidR="008A1073" w:rsidRPr="0021669F">
        <w:rPr>
          <w:rFonts w:cs="Segoe UI"/>
          <w:i/>
          <w:szCs w:val="22"/>
        </w:rPr>
        <w:t>23</w:t>
      </w:r>
      <w:r w:rsidRPr="0021669F">
        <w:rPr>
          <w:rFonts w:cs="Segoe UI"/>
          <w:i/>
          <w:szCs w:val="22"/>
        </w:rPr>
        <w:t xml:space="preserve"> Demographic Experience Study</w:t>
      </w:r>
      <w:r w:rsidRPr="0021669F">
        <w:rPr>
          <w:rFonts w:cs="Segoe UI"/>
          <w:szCs w:val="22"/>
        </w:rPr>
        <w:t xml:space="preserve"> </w:t>
      </w:r>
      <w:r w:rsidRPr="0021669F">
        <w:rPr>
          <w:rFonts w:cs="Segoe UI"/>
          <w:i/>
          <w:szCs w:val="22"/>
        </w:rPr>
        <w:t>Report and the 202</w:t>
      </w:r>
      <w:r w:rsidR="008A1073" w:rsidRPr="0021669F">
        <w:rPr>
          <w:rFonts w:cs="Segoe UI"/>
          <w:i/>
          <w:szCs w:val="22"/>
        </w:rPr>
        <w:t>5</w:t>
      </w:r>
      <w:r w:rsidRPr="0021669F">
        <w:rPr>
          <w:rFonts w:cs="Segoe UI"/>
          <w:i/>
          <w:szCs w:val="22"/>
        </w:rPr>
        <w:t xml:space="preserve"> Economic Experience Study</w:t>
      </w:r>
      <w:r w:rsidRPr="0021669F">
        <w:rPr>
          <w:rFonts w:cs="Segoe UI"/>
          <w:szCs w:val="22"/>
        </w:rPr>
        <w:t>. Additional assumptions for subsequent events and law changes are current as of the 202</w:t>
      </w:r>
      <w:r w:rsidR="00246B3D" w:rsidRPr="0021669F">
        <w:rPr>
          <w:rFonts w:cs="Segoe UI"/>
          <w:szCs w:val="22"/>
        </w:rPr>
        <w:t>5</w:t>
      </w:r>
      <w:r w:rsidRPr="0021669F">
        <w:rPr>
          <w:rFonts w:cs="Segoe UI"/>
          <w:szCs w:val="22"/>
        </w:rPr>
        <w:t xml:space="preserve"> actuarial valuation report.</w:t>
      </w:r>
    </w:p>
    <w:p w14:paraId="607410C7" w14:textId="77777777" w:rsidR="003132CB" w:rsidRPr="0021669F" w:rsidRDefault="003132CB" w:rsidP="003132CB">
      <w:pPr>
        <w:rPr>
          <w:rFonts w:cs="Segoe UI"/>
          <w:szCs w:val="22"/>
        </w:rPr>
      </w:pPr>
    </w:p>
    <w:p w14:paraId="5FB49D8C" w14:textId="77777777" w:rsidR="003132CB" w:rsidRPr="0021669F" w:rsidRDefault="003132CB" w:rsidP="003132CB">
      <w:pPr>
        <w:pStyle w:val="Heading4"/>
        <w:ind w:left="0"/>
        <w:jc w:val="both"/>
      </w:pPr>
      <w:r w:rsidRPr="0021669F">
        <w:t xml:space="preserve">Long-term Expected Rate of Return </w:t>
      </w:r>
    </w:p>
    <w:p w14:paraId="2F0CFC58" w14:textId="13058C76" w:rsidR="003132CB" w:rsidRPr="0021669F" w:rsidRDefault="003132CB" w:rsidP="003132CB">
      <w:pPr>
        <w:autoSpaceDE w:val="0"/>
        <w:autoSpaceDN w:val="0"/>
        <w:adjustRightInd w:val="0"/>
        <w:spacing w:line="201" w:lineRule="atLeast"/>
        <w:rPr>
          <w:rFonts w:cs="Segoe UI"/>
          <w:szCs w:val="22"/>
        </w:rPr>
      </w:pPr>
      <w:r w:rsidRPr="0021669F">
        <w:rPr>
          <w:rFonts w:cs="Segoe UI"/>
          <w:szCs w:val="22"/>
        </w:rPr>
        <w:t>OSA selected a 7.</w:t>
      </w:r>
      <w:r w:rsidR="00DC0281" w:rsidRPr="0021669F">
        <w:rPr>
          <w:rFonts w:cs="Segoe UI"/>
          <w:szCs w:val="22"/>
        </w:rPr>
        <w:t>25</w:t>
      </w:r>
      <w:r w:rsidRPr="0021669F">
        <w:rPr>
          <w:rFonts w:cs="Segoe UI"/>
          <w:szCs w:val="22"/>
        </w:rPr>
        <w:t>% long-term expected rate of return on pension plan investments using a building-block method. In selecting the assumptions, OSA reviewed the historical experience data, considered the historical conditions that produced past annual investment returns, and considered Capital Market Assumptions (CMAs) and simulated expected investment returns the Washington State Investment Board (WSIB) provided.</w:t>
      </w:r>
    </w:p>
    <w:p w14:paraId="203998CF" w14:textId="77777777" w:rsidR="003132CB" w:rsidRPr="0021669F" w:rsidRDefault="003132CB" w:rsidP="003132CB">
      <w:pPr>
        <w:autoSpaceDE w:val="0"/>
        <w:autoSpaceDN w:val="0"/>
        <w:adjustRightInd w:val="0"/>
        <w:spacing w:line="201" w:lineRule="atLeast"/>
        <w:rPr>
          <w:rFonts w:cs="Segoe UI"/>
          <w:szCs w:val="22"/>
        </w:rPr>
      </w:pPr>
    </w:p>
    <w:p w14:paraId="5CA7F2B2" w14:textId="77777777" w:rsidR="003132CB" w:rsidRPr="0021669F" w:rsidRDefault="003132CB" w:rsidP="003132CB">
      <w:pPr>
        <w:autoSpaceDE w:val="0"/>
        <w:autoSpaceDN w:val="0"/>
        <w:adjustRightInd w:val="0"/>
        <w:spacing w:line="201" w:lineRule="atLeast"/>
        <w:rPr>
          <w:rFonts w:cs="Segoe UI"/>
          <w:szCs w:val="22"/>
        </w:rPr>
      </w:pPr>
      <w:r w:rsidRPr="0021669F">
        <w:rPr>
          <w:rFonts w:cs="Segoe UI"/>
          <w:szCs w:val="22"/>
        </w:rPr>
        <w:t xml:space="preserve">The CMAs contain three pieces of information for each class of assets the WSIB currently </w:t>
      </w:r>
      <w:proofErr w:type="gramStart"/>
      <w:r w:rsidRPr="0021669F">
        <w:rPr>
          <w:rFonts w:cs="Segoe UI"/>
          <w:szCs w:val="22"/>
        </w:rPr>
        <w:t>invest</w:t>
      </w:r>
      <w:proofErr w:type="gramEnd"/>
      <w:r w:rsidRPr="0021669F">
        <w:rPr>
          <w:rFonts w:cs="Segoe UI"/>
          <w:szCs w:val="22"/>
        </w:rPr>
        <w:t xml:space="preserve"> in: </w:t>
      </w:r>
    </w:p>
    <w:p w14:paraId="32168B07" w14:textId="77777777" w:rsidR="003132CB" w:rsidRPr="0021669F" w:rsidRDefault="003132CB" w:rsidP="003132CB">
      <w:pPr>
        <w:pStyle w:val="ListParagraph"/>
        <w:numPr>
          <w:ilvl w:val="0"/>
          <w:numId w:val="20"/>
        </w:numPr>
        <w:autoSpaceDE w:val="0"/>
        <w:autoSpaceDN w:val="0"/>
        <w:adjustRightInd w:val="0"/>
        <w:spacing w:line="201" w:lineRule="atLeast"/>
        <w:contextualSpacing/>
        <w:rPr>
          <w:rFonts w:cs="Segoe UI"/>
          <w:szCs w:val="22"/>
        </w:rPr>
      </w:pPr>
      <w:r w:rsidRPr="0021669F">
        <w:rPr>
          <w:rFonts w:cs="Segoe UI"/>
          <w:szCs w:val="22"/>
        </w:rPr>
        <w:t xml:space="preserve">Expected annual return </w:t>
      </w:r>
    </w:p>
    <w:p w14:paraId="25E068C1" w14:textId="77777777" w:rsidR="003132CB" w:rsidRPr="0021669F" w:rsidRDefault="003132CB" w:rsidP="003132CB">
      <w:pPr>
        <w:pStyle w:val="ListParagraph"/>
        <w:numPr>
          <w:ilvl w:val="0"/>
          <w:numId w:val="20"/>
        </w:numPr>
        <w:autoSpaceDE w:val="0"/>
        <w:autoSpaceDN w:val="0"/>
        <w:adjustRightInd w:val="0"/>
        <w:spacing w:line="201" w:lineRule="atLeast"/>
        <w:rPr>
          <w:rFonts w:cs="Segoe UI"/>
          <w:szCs w:val="22"/>
        </w:rPr>
      </w:pPr>
      <w:r w:rsidRPr="0021669F">
        <w:rPr>
          <w:rFonts w:cs="Segoe UI"/>
          <w:szCs w:val="22"/>
        </w:rPr>
        <w:t xml:space="preserve">Standard deviation of the annual return </w:t>
      </w:r>
    </w:p>
    <w:p w14:paraId="2D1F8C75" w14:textId="77777777" w:rsidR="003132CB" w:rsidRPr="0021669F" w:rsidRDefault="003132CB" w:rsidP="003132CB">
      <w:pPr>
        <w:pStyle w:val="ListParagraph"/>
        <w:numPr>
          <w:ilvl w:val="0"/>
          <w:numId w:val="20"/>
        </w:numPr>
        <w:autoSpaceDE w:val="0"/>
        <w:autoSpaceDN w:val="0"/>
        <w:adjustRightInd w:val="0"/>
        <w:spacing w:line="201" w:lineRule="atLeast"/>
        <w:rPr>
          <w:rFonts w:cs="Segoe UI"/>
          <w:szCs w:val="22"/>
        </w:rPr>
      </w:pPr>
      <w:r w:rsidRPr="0021669F">
        <w:rPr>
          <w:rFonts w:cs="Segoe UI"/>
          <w:szCs w:val="22"/>
        </w:rPr>
        <w:t>Correlations between the annual returns of each asset class with every other asset class</w:t>
      </w:r>
    </w:p>
    <w:p w14:paraId="2E5C1DE6" w14:textId="77777777" w:rsidR="003132CB" w:rsidRPr="0021669F" w:rsidRDefault="003132CB" w:rsidP="003132CB">
      <w:pPr>
        <w:autoSpaceDE w:val="0"/>
        <w:autoSpaceDN w:val="0"/>
        <w:adjustRightInd w:val="0"/>
        <w:spacing w:line="201" w:lineRule="atLeast"/>
        <w:rPr>
          <w:rFonts w:cs="Segoe UI"/>
          <w:szCs w:val="22"/>
        </w:rPr>
      </w:pPr>
    </w:p>
    <w:p w14:paraId="1EF3DFA4" w14:textId="77777777" w:rsidR="003132CB" w:rsidRPr="0021669F" w:rsidRDefault="003132CB" w:rsidP="003132CB">
      <w:pPr>
        <w:autoSpaceDE w:val="0"/>
        <w:autoSpaceDN w:val="0"/>
        <w:adjustRightInd w:val="0"/>
        <w:spacing w:line="201" w:lineRule="atLeast"/>
        <w:rPr>
          <w:rFonts w:cs="Segoe UI"/>
          <w:szCs w:val="22"/>
        </w:rPr>
      </w:pPr>
      <w:r w:rsidRPr="0021669F">
        <w:rPr>
          <w:rFonts w:cs="Segoe UI"/>
          <w:szCs w:val="22"/>
        </w:rPr>
        <w:lastRenderedPageBreak/>
        <w:t>WSIB uses the CMAs and their target asset allocation to simulate future investment returns over various time horizons.</w:t>
      </w:r>
    </w:p>
    <w:p w14:paraId="0CD75D50" w14:textId="77777777" w:rsidR="003132CB" w:rsidRPr="0021669F" w:rsidRDefault="003132CB" w:rsidP="003132CB">
      <w:pPr>
        <w:autoSpaceDE w:val="0"/>
        <w:autoSpaceDN w:val="0"/>
        <w:adjustRightInd w:val="0"/>
        <w:spacing w:line="201" w:lineRule="atLeast"/>
        <w:rPr>
          <w:rFonts w:cs="Segoe UI"/>
          <w:szCs w:val="22"/>
        </w:rPr>
      </w:pPr>
    </w:p>
    <w:p w14:paraId="3D238B86" w14:textId="77777777" w:rsidR="003132CB" w:rsidRPr="0021669F" w:rsidRDefault="003132CB" w:rsidP="003132CB">
      <w:pPr>
        <w:autoSpaceDE w:val="0"/>
        <w:autoSpaceDN w:val="0"/>
        <w:adjustRightInd w:val="0"/>
        <w:spacing w:line="201" w:lineRule="atLeast"/>
        <w:rPr>
          <w:rFonts w:cs="Segoe UI"/>
          <w:szCs w:val="22"/>
        </w:rPr>
      </w:pPr>
      <w:r w:rsidRPr="0021669F">
        <w:rPr>
          <w:rFonts w:cs="Segoe UI"/>
          <w:szCs w:val="22"/>
        </w:rPr>
        <w:t>The expected future rates of return are developed by the WSIB for each major asset class.</w:t>
      </w:r>
    </w:p>
    <w:p w14:paraId="17AC55C5" w14:textId="77777777" w:rsidR="003132CB" w:rsidRPr="0021669F" w:rsidRDefault="003132CB" w:rsidP="003132CB">
      <w:pPr>
        <w:rPr>
          <w:rFonts w:cs="Segoe UI"/>
          <w:szCs w:val="22"/>
        </w:rPr>
      </w:pPr>
    </w:p>
    <w:p w14:paraId="496321FC" w14:textId="7BD2F474" w:rsidR="003132CB" w:rsidRPr="0021669F" w:rsidRDefault="003132CB" w:rsidP="003132CB">
      <w:pPr>
        <w:rPr>
          <w:rFonts w:cs="Segoe UI"/>
          <w:szCs w:val="22"/>
        </w:rPr>
      </w:pPr>
      <w:r w:rsidRPr="0021669F">
        <w:rPr>
          <w:rFonts w:cs="Segoe UI"/>
          <w:szCs w:val="22"/>
        </w:rPr>
        <w:t xml:space="preserve">Best estimates of arithmetic real rates of return for each major asset class included in the pension plans’ target asset allocation as of June 30, </w:t>
      </w:r>
      <w:r w:rsidR="00DC0281" w:rsidRPr="0021669F">
        <w:rPr>
          <w:rFonts w:cs="Segoe UI"/>
          <w:szCs w:val="22"/>
        </w:rPr>
        <w:t>2025</w:t>
      </w:r>
      <w:r w:rsidRPr="0021669F">
        <w:rPr>
          <w:rFonts w:cs="Segoe UI"/>
          <w:szCs w:val="22"/>
        </w:rPr>
        <w:t xml:space="preserve">, are summarized in the following table: </w:t>
      </w:r>
    </w:p>
    <w:p w14:paraId="7B1B9BF5" w14:textId="77777777" w:rsidR="003132CB" w:rsidRPr="0021669F" w:rsidRDefault="003132CB" w:rsidP="003132CB">
      <w:pPr>
        <w:rPr>
          <w:rFonts w:cs="Arial"/>
          <w:szCs w:val="22"/>
        </w:rPr>
      </w:pPr>
    </w:p>
    <w:tbl>
      <w:tblPr>
        <w:tblStyle w:val="TableGrid"/>
        <w:tblW w:w="0" w:type="auto"/>
        <w:tblLayout w:type="fixed"/>
        <w:tblLook w:val="0020" w:firstRow="1" w:lastRow="0" w:firstColumn="0" w:lastColumn="0" w:noHBand="0" w:noVBand="0"/>
        <w:tblCaption w:val="Long-Term Expected ROI"/>
      </w:tblPr>
      <w:tblGrid>
        <w:gridCol w:w="2328"/>
        <w:gridCol w:w="2631"/>
        <w:gridCol w:w="2632"/>
      </w:tblGrid>
      <w:tr w:rsidR="003132CB" w:rsidRPr="0021669F" w14:paraId="0A1F8B63" w14:textId="77777777" w:rsidTr="003132CB">
        <w:trPr>
          <w:trHeight w:val="159"/>
          <w:tblHeader/>
        </w:trPr>
        <w:tc>
          <w:tcPr>
            <w:tcW w:w="7591" w:type="dxa"/>
            <w:gridSpan w:val="3"/>
            <w:tcBorders>
              <w:top w:val="single" w:sz="4" w:space="0" w:color="auto"/>
              <w:left w:val="single" w:sz="4" w:space="0" w:color="auto"/>
              <w:bottom w:val="single" w:sz="4" w:space="0" w:color="auto"/>
              <w:right w:val="single" w:sz="4" w:space="0" w:color="auto"/>
            </w:tcBorders>
            <w:hideMark/>
          </w:tcPr>
          <w:p w14:paraId="6D3AF6EB" w14:textId="75181407" w:rsidR="003132CB" w:rsidRPr="0021669F" w:rsidRDefault="008A1073">
            <w:pPr>
              <w:autoSpaceDE w:val="0"/>
              <w:autoSpaceDN w:val="0"/>
              <w:adjustRightInd w:val="0"/>
              <w:spacing w:line="241" w:lineRule="atLeast"/>
              <w:rPr>
                <w:rFonts w:cs="Arial"/>
                <w:szCs w:val="22"/>
              </w:rPr>
            </w:pPr>
            <w:r w:rsidRPr="0021669F">
              <w:rPr>
                <w:rFonts w:cs="Arial"/>
                <w:bCs/>
                <w:szCs w:val="22"/>
              </w:rPr>
              <w:t>Estimated Rates of Return</w:t>
            </w:r>
          </w:p>
        </w:tc>
      </w:tr>
      <w:tr w:rsidR="003132CB" w:rsidRPr="0021669F" w14:paraId="5B0B368B" w14:textId="77777777" w:rsidTr="003132CB">
        <w:trPr>
          <w:trHeight w:val="252"/>
          <w:tblHeader/>
        </w:trPr>
        <w:tc>
          <w:tcPr>
            <w:tcW w:w="2328" w:type="dxa"/>
            <w:tcBorders>
              <w:top w:val="single" w:sz="4" w:space="0" w:color="auto"/>
              <w:left w:val="single" w:sz="4" w:space="0" w:color="auto"/>
              <w:bottom w:val="single" w:sz="4" w:space="0" w:color="auto"/>
              <w:right w:val="single" w:sz="4" w:space="0" w:color="auto"/>
            </w:tcBorders>
            <w:hideMark/>
          </w:tcPr>
          <w:p w14:paraId="77330BBC" w14:textId="77777777" w:rsidR="003132CB" w:rsidRPr="0021669F" w:rsidRDefault="003132CB">
            <w:pPr>
              <w:autoSpaceDE w:val="0"/>
              <w:autoSpaceDN w:val="0"/>
              <w:adjustRightInd w:val="0"/>
              <w:rPr>
                <w:rFonts w:cs="Arial"/>
                <w:szCs w:val="22"/>
              </w:rPr>
            </w:pPr>
            <w:r w:rsidRPr="0021669F">
              <w:rPr>
                <w:rFonts w:cs="Arial"/>
                <w:bCs/>
                <w:szCs w:val="22"/>
              </w:rPr>
              <w:t>Asset Class</w:t>
            </w:r>
          </w:p>
        </w:tc>
        <w:tc>
          <w:tcPr>
            <w:tcW w:w="2631" w:type="dxa"/>
            <w:tcBorders>
              <w:top w:val="single" w:sz="4" w:space="0" w:color="auto"/>
              <w:left w:val="single" w:sz="4" w:space="0" w:color="auto"/>
              <w:bottom w:val="single" w:sz="4" w:space="0" w:color="auto"/>
              <w:right w:val="single" w:sz="4" w:space="0" w:color="auto"/>
            </w:tcBorders>
            <w:vAlign w:val="center"/>
            <w:hideMark/>
          </w:tcPr>
          <w:p w14:paraId="7C562307" w14:textId="77777777" w:rsidR="003132CB" w:rsidRPr="0021669F" w:rsidRDefault="003132CB">
            <w:pPr>
              <w:autoSpaceDE w:val="0"/>
              <w:autoSpaceDN w:val="0"/>
              <w:adjustRightInd w:val="0"/>
              <w:rPr>
                <w:rFonts w:cs="Arial"/>
                <w:szCs w:val="22"/>
              </w:rPr>
            </w:pPr>
            <w:r w:rsidRPr="0021669F">
              <w:rPr>
                <w:rFonts w:cs="Arial"/>
                <w:szCs w:val="22"/>
              </w:rPr>
              <w:t xml:space="preserve">Target Allocation </w:t>
            </w:r>
          </w:p>
        </w:tc>
        <w:tc>
          <w:tcPr>
            <w:tcW w:w="2632" w:type="dxa"/>
            <w:tcBorders>
              <w:top w:val="single" w:sz="4" w:space="0" w:color="auto"/>
              <w:left w:val="single" w:sz="4" w:space="0" w:color="auto"/>
              <w:bottom w:val="single" w:sz="4" w:space="0" w:color="auto"/>
              <w:right w:val="single" w:sz="4" w:space="0" w:color="auto"/>
            </w:tcBorders>
            <w:vAlign w:val="center"/>
            <w:hideMark/>
          </w:tcPr>
          <w:p w14:paraId="0F8ACDF0" w14:textId="77777777" w:rsidR="003132CB" w:rsidRPr="0021669F" w:rsidRDefault="003132CB">
            <w:pPr>
              <w:autoSpaceDE w:val="0"/>
              <w:autoSpaceDN w:val="0"/>
              <w:adjustRightInd w:val="0"/>
              <w:rPr>
                <w:rFonts w:cs="Arial"/>
                <w:szCs w:val="22"/>
              </w:rPr>
            </w:pPr>
            <w:r w:rsidRPr="0021669F">
              <w:rPr>
                <w:rFonts w:cs="Arial"/>
                <w:bCs/>
                <w:szCs w:val="22"/>
              </w:rPr>
              <w:t>% Long-term Expected Real Rate of Return</w:t>
            </w:r>
          </w:p>
        </w:tc>
      </w:tr>
      <w:tr w:rsidR="003132CB" w:rsidRPr="0021669F" w14:paraId="3059D37A" w14:textId="77777777" w:rsidTr="00AA511A">
        <w:trPr>
          <w:trHeight w:val="119"/>
          <w:tblHeader/>
        </w:trPr>
        <w:tc>
          <w:tcPr>
            <w:tcW w:w="2328" w:type="dxa"/>
            <w:tcBorders>
              <w:top w:val="single" w:sz="4" w:space="0" w:color="auto"/>
              <w:left w:val="single" w:sz="4" w:space="0" w:color="auto"/>
              <w:bottom w:val="single" w:sz="4" w:space="0" w:color="auto"/>
              <w:right w:val="single" w:sz="4" w:space="0" w:color="auto"/>
            </w:tcBorders>
            <w:hideMark/>
          </w:tcPr>
          <w:p w14:paraId="583861D7" w14:textId="77777777" w:rsidR="003132CB" w:rsidRPr="0021669F" w:rsidRDefault="003132CB">
            <w:pPr>
              <w:autoSpaceDE w:val="0"/>
              <w:autoSpaceDN w:val="0"/>
              <w:adjustRightInd w:val="0"/>
              <w:spacing w:line="161" w:lineRule="atLeast"/>
              <w:rPr>
                <w:rFonts w:cs="Arial"/>
                <w:szCs w:val="22"/>
              </w:rPr>
            </w:pPr>
            <w:r w:rsidRPr="0021669F">
              <w:rPr>
                <w:rFonts w:cs="Arial"/>
                <w:szCs w:val="22"/>
              </w:rPr>
              <w:t>Fixed Income</w:t>
            </w:r>
          </w:p>
        </w:tc>
        <w:tc>
          <w:tcPr>
            <w:tcW w:w="2631" w:type="dxa"/>
            <w:tcBorders>
              <w:top w:val="single" w:sz="4" w:space="0" w:color="auto"/>
              <w:left w:val="single" w:sz="4" w:space="0" w:color="auto"/>
              <w:bottom w:val="single" w:sz="4" w:space="0" w:color="auto"/>
              <w:right w:val="single" w:sz="4" w:space="0" w:color="auto"/>
            </w:tcBorders>
            <w:vAlign w:val="center"/>
          </w:tcPr>
          <w:p w14:paraId="060E4BCD" w14:textId="4C8F0E23" w:rsidR="003132CB" w:rsidRPr="0021669F" w:rsidRDefault="00DC0281">
            <w:pPr>
              <w:autoSpaceDE w:val="0"/>
              <w:autoSpaceDN w:val="0"/>
              <w:adjustRightInd w:val="0"/>
              <w:spacing w:line="161" w:lineRule="atLeast"/>
              <w:jc w:val="center"/>
              <w:rPr>
                <w:rFonts w:cs="Arial"/>
                <w:szCs w:val="22"/>
              </w:rPr>
            </w:pPr>
            <w:r w:rsidRPr="0021669F">
              <w:rPr>
                <w:rFonts w:cs="Arial"/>
                <w:szCs w:val="22"/>
              </w:rPr>
              <w:t>19.0%</w:t>
            </w:r>
          </w:p>
        </w:tc>
        <w:tc>
          <w:tcPr>
            <w:tcW w:w="2632" w:type="dxa"/>
            <w:tcBorders>
              <w:top w:val="single" w:sz="4" w:space="0" w:color="auto"/>
              <w:left w:val="single" w:sz="4" w:space="0" w:color="auto"/>
              <w:bottom w:val="single" w:sz="4" w:space="0" w:color="auto"/>
              <w:right w:val="single" w:sz="4" w:space="0" w:color="auto"/>
            </w:tcBorders>
            <w:vAlign w:val="center"/>
          </w:tcPr>
          <w:p w14:paraId="6D7EB104" w14:textId="325D7107" w:rsidR="003132CB" w:rsidRPr="0021669F" w:rsidRDefault="00DC0281">
            <w:pPr>
              <w:autoSpaceDE w:val="0"/>
              <w:autoSpaceDN w:val="0"/>
              <w:adjustRightInd w:val="0"/>
              <w:spacing w:line="161" w:lineRule="atLeast"/>
              <w:jc w:val="center"/>
              <w:rPr>
                <w:rFonts w:cs="Arial"/>
                <w:szCs w:val="22"/>
              </w:rPr>
            </w:pPr>
            <w:r w:rsidRPr="0021669F">
              <w:rPr>
                <w:rFonts w:cs="Arial"/>
                <w:szCs w:val="22"/>
              </w:rPr>
              <w:t>2.6%</w:t>
            </w:r>
          </w:p>
        </w:tc>
      </w:tr>
      <w:tr w:rsidR="003132CB" w:rsidRPr="0021669F" w14:paraId="10FC3310" w14:textId="77777777" w:rsidTr="00AA511A">
        <w:trPr>
          <w:trHeight w:val="119"/>
          <w:tblHeader/>
        </w:trPr>
        <w:tc>
          <w:tcPr>
            <w:tcW w:w="2328" w:type="dxa"/>
            <w:tcBorders>
              <w:top w:val="single" w:sz="4" w:space="0" w:color="auto"/>
              <w:left w:val="single" w:sz="4" w:space="0" w:color="auto"/>
              <w:bottom w:val="single" w:sz="4" w:space="0" w:color="auto"/>
              <w:right w:val="single" w:sz="4" w:space="0" w:color="auto"/>
            </w:tcBorders>
            <w:hideMark/>
          </w:tcPr>
          <w:p w14:paraId="0112ADE4" w14:textId="77777777" w:rsidR="003132CB" w:rsidRPr="0021669F" w:rsidRDefault="003132CB">
            <w:pPr>
              <w:autoSpaceDE w:val="0"/>
              <w:autoSpaceDN w:val="0"/>
              <w:adjustRightInd w:val="0"/>
              <w:spacing w:line="161" w:lineRule="atLeast"/>
              <w:rPr>
                <w:rFonts w:cs="Arial"/>
                <w:szCs w:val="22"/>
              </w:rPr>
            </w:pPr>
            <w:r w:rsidRPr="0021669F">
              <w:rPr>
                <w:rFonts w:cs="Arial"/>
                <w:szCs w:val="22"/>
              </w:rPr>
              <w:t>Tangible Assets</w:t>
            </w:r>
          </w:p>
        </w:tc>
        <w:tc>
          <w:tcPr>
            <w:tcW w:w="2631" w:type="dxa"/>
            <w:tcBorders>
              <w:top w:val="single" w:sz="4" w:space="0" w:color="auto"/>
              <w:left w:val="single" w:sz="4" w:space="0" w:color="auto"/>
              <w:bottom w:val="single" w:sz="4" w:space="0" w:color="auto"/>
              <w:right w:val="single" w:sz="4" w:space="0" w:color="auto"/>
            </w:tcBorders>
            <w:vAlign w:val="center"/>
          </w:tcPr>
          <w:p w14:paraId="44A5AAA4" w14:textId="1E81A8BB" w:rsidR="003132CB" w:rsidRPr="0021669F" w:rsidRDefault="00DC0281">
            <w:pPr>
              <w:autoSpaceDE w:val="0"/>
              <w:autoSpaceDN w:val="0"/>
              <w:adjustRightInd w:val="0"/>
              <w:spacing w:line="161" w:lineRule="atLeast"/>
              <w:jc w:val="center"/>
              <w:rPr>
                <w:rFonts w:cs="Arial"/>
                <w:szCs w:val="22"/>
              </w:rPr>
            </w:pPr>
            <w:r w:rsidRPr="0021669F">
              <w:rPr>
                <w:rFonts w:cs="Arial"/>
                <w:szCs w:val="22"/>
              </w:rPr>
              <w:t>8.0%</w:t>
            </w:r>
          </w:p>
        </w:tc>
        <w:tc>
          <w:tcPr>
            <w:tcW w:w="2632" w:type="dxa"/>
            <w:tcBorders>
              <w:top w:val="single" w:sz="4" w:space="0" w:color="auto"/>
              <w:left w:val="single" w:sz="4" w:space="0" w:color="auto"/>
              <w:bottom w:val="single" w:sz="4" w:space="0" w:color="auto"/>
              <w:right w:val="single" w:sz="4" w:space="0" w:color="auto"/>
            </w:tcBorders>
            <w:vAlign w:val="center"/>
          </w:tcPr>
          <w:p w14:paraId="229032DE" w14:textId="3C26BC0A" w:rsidR="003132CB" w:rsidRPr="0021669F" w:rsidRDefault="00DC0281">
            <w:pPr>
              <w:autoSpaceDE w:val="0"/>
              <w:autoSpaceDN w:val="0"/>
              <w:adjustRightInd w:val="0"/>
              <w:spacing w:line="161" w:lineRule="atLeast"/>
              <w:jc w:val="center"/>
              <w:rPr>
                <w:rFonts w:cs="Arial"/>
                <w:szCs w:val="22"/>
              </w:rPr>
            </w:pPr>
            <w:r w:rsidRPr="0021669F">
              <w:rPr>
                <w:rFonts w:cs="Arial"/>
                <w:szCs w:val="22"/>
              </w:rPr>
              <w:t>4.6%</w:t>
            </w:r>
          </w:p>
        </w:tc>
      </w:tr>
      <w:tr w:rsidR="003132CB" w:rsidRPr="0021669F" w14:paraId="1DE52C38" w14:textId="77777777" w:rsidTr="00AA511A">
        <w:trPr>
          <w:trHeight w:val="119"/>
          <w:tblHeader/>
        </w:trPr>
        <w:tc>
          <w:tcPr>
            <w:tcW w:w="2328" w:type="dxa"/>
            <w:tcBorders>
              <w:top w:val="single" w:sz="4" w:space="0" w:color="auto"/>
              <w:left w:val="single" w:sz="4" w:space="0" w:color="auto"/>
              <w:bottom w:val="single" w:sz="4" w:space="0" w:color="auto"/>
              <w:right w:val="single" w:sz="4" w:space="0" w:color="auto"/>
            </w:tcBorders>
            <w:hideMark/>
          </w:tcPr>
          <w:p w14:paraId="363F9A12" w14:textId="77777777" w:rsidR="003132CB" w:rsidRPr="0021669F" w:rsidRDefault="003132CB">
            <w:pPr>
              <w:autoSpaceDE w:val="0"/>
              <w:autoSpaceDN w:val="0"/>
              <w:adjustRightInd w:val="0"/>
              <w:spacing w:line="161" w:lineRule="atLeast"/>
              <w:rPr>
                <w:rFonts w:cs="Arial"/>
                <w:szCs w:val="22"/>
              </w:rPr>
            </w:pPr>
            <w:r w:rsidRPr="0021669F">
              <w:rPr>
                <w:rFonts w:cs="Arial"/>
                <w:szCs w:val="22"/>
              </w:rPr>
              <w:t>Real Estate</w:t>
            </w:r>
          </w:p>
        </w:tc>
        <w:tc>
          <w:tcPr>
            <w:tcW w:w="2631" w:type="dxa"/>
            <w:tcBorders>
              <w:top w:val="single" w:sz="4" w:space="0" w:color="auto"/>
              <w:left w:val="single" w:sz="4" w:space="0" w:color="auto"/>
              <w:bottom w:val="single" w:sz="4" w:space="0" w:color="auto"/>
              <w:right w:val="single" w:sz="4" w:space="0" w:color="auto"/>
            </w:tcBorders>
            <w:vAlign w:val="center"/>
          </w:tcPr>
          <w:p w14:paraId="4106734A" w14:textId="23C78A46" w:rsidR="003132CB" w:rsidRPr="0021669F" w:rsidRDefault="00DC0281">
            <w:pPr>
              <w:autoSpaceDE w:val="0"/>
              <w:autoSpaceDN w:val="0"/>
              <w:adjustRightInd w:val="0"/>
              <w:spacing w:line="161" w:lineRule="atLeast"/>
              <w:jc w:val="center"/>
              <w:rPr>
                <w:rFonts w:cs="Arial"/>
                <w:szCs w:val="22"/>
              </w:rPr>
            </w:pPr>
            <w:r w:rsidRPr="0021669F">
              <w:rPr>
                <w:rFonts w:cs="Arial"/>
                <w:szCs w:val="22"/>
              </w:rPr>
              <w:t>18.0%</w:t>
            </w:r>
          </w:p>
        </w:tc>
        <w:tc>
          <w:tcPr>
            <w:tcW w:w="2632" w:type="dxa"/>
            <w:tcBorders>
              <w:top w:val="single" w:sz="4" w:space="0" w:color="auto"/>
              <w:left w:val="single" w:sz="4" w:space="0" w:color="auto"/>
              <w:bottom w:val="single" w:sz="4" w:space="0" w:color="auto"/>
              <w:right w:val="single" w:sz="4" w:space="0" w:color="auto"/>
            </w:tcBorders>
            <w:vAlign w:val="center"/>
          </w:tcPr>
          <w:p w14:paraId="2F81B40D" w14:textId="3382CB6B" w:rsidR="003132CB" w:rsidRPr="0021669F" w:rsidRDefault="00DC0281">
            <w:pPr>
              <w:autoSpaceDE w:val="0"/>
              <w:autoSpaceDN w:val="0"/>
              <w:adjustRightInd w:val="0"/>
              <w:spacing w:line="161" w:lineRule="atLeast"/>
              <w:jc w:val="center"/>
              <w:rPr>
                <w:rFonts w:cs="Arial"/>
                <w:szCs w:val="22"/>
              </w:rPr>
            </w:pPr>
            <w:r w:rsidRPr="0021669F">
              <w:rPr>
                <w:rFonts w:cs="Arial"/>
                <w:szCs w:val="22"/>
              </w:rPr>
              <w:t>4.9%</w:t>
            </w:r>
          </w:p>
        </w:tc>
      </w:tr>
      <w:tr w:rsidR="003132CB" w:rsidRPr="0021669F" w14:paraId="188CF8BB" w14:textId="77777777" w:rsidTr="00AA511A">
        <w:trPr>
          <w:trHeight w:val="119"/>
          <w:tblHeader/>
        </w:trPr>
        <w:tc>
          <w:tcPr>
            <w:tcW w:w="2328" w:type="dxa"/>
            <w:tcBorders>
              <w:top w:val="single" w:sz="4" w:space="0" w:color="auto"/>
              <w:left w:val="single" w:sz="4" w:space="0" w:color="auto"/>
              <w:bottom w:val="single" w:sz="4" w:space="0" w:color="auto"/>
              <w:right w:val="single" w:sz="4" w:space="0" w:color="auto"/>
            </w:tcBorders>
            <w:hideMark/>
          </w:tcPr>
          <w:p w14:paraId="7BDE1D7B" w14:textId="77777777" w:rsidR="003132CB" w:rsidRPr="0021669F" w:rsidRDefault="003132CB">
            <w:pPr>
              <w:autoSpaceDE w:val="0"/>
              <w:autoSpaceDN w:val="0"/>
              <w:adjustRightInd w:val="0"/>
              <w:spacing w:line="161" w:lineRule="atLeast"/>
              <w:rPr>
                <w:rFonts w:cs="Arial"/>
                <w:szCs w:val="22"/>
              </w:rPr>
            </w:pPr>
            <w:r w:rsidRPr="0021669F">
              <w:rPr>
                <w:rFonts w:cs="Arial"/>
                <w:szCs w:val="22"/>
              </w:rPr>
              <w:t>Global Equity</w:t>
            </w:r>
          </w:p>
        </w:tc>
        <w:tc>
          <w:tcPr>
            <w:tcW w:w="2631" w:type="dxa"/>
            <w:tcBorders>
              <w:top w:val="single" w:sz="4" w:space="0" w:color="auto"/>
              <w:left w:val="single" w:sz="4" w:space="0" w:color="auto"/>
              <w:bottom w:val="single" w:sz="4" w:space="0" w:color="auto"/>
              <w:right w:val="single" w:sz="4" w:space="0" w:color="auto"/>
            </w:tcBorders>
            <w:vAlign w:val="center"/>
          </w:tcPr>
          <w:p w14:paraId="131E0048" w14:textId="5DECFDA2" w:rsidR="003132CB" w:rsidRPr="0021669F" w:rsidRDefault="00DC0281">
            <w:pPr>
              <w:autoSpaceDE w:val="0"/>
              <w:autoSpaceDN w:val="0"/>
              <w:adjustRightInd w:val="0"/>
              <w:spacing w:line="161" w:lineRule="atLeast"/>
              <w:jc w:val="center"/>
              <w:rPr>
                <w:rFonts w:cs="Arial"/>
                <w:szCs w:val="22"/>
              </w:rPr>
            </w:pPr>
            <w:r w:rsidRPr="0021669F">
              <w:rPr>
                <w:rFonts w:cs="Arial"/>
                <w:szCs w:val="22"/>
              </w:rPr>
              <w:t>30.0%</w:t>
            </w:r>
          </w:p>
        </w:tc>
        <w:tc>
          <w:tcPr>
            <w:tcW w:w="2632" w:type="dxa"/>
            <w:tcBorders>
              <w:top w:val="single" w:sz="4" w:space="0" w:color="auto"/>
              <w:left w:val="single" w:sz="4" w:space="0" w:color="auto"/>
              <w:bottom w:val="single" w:sz="4" w:space="0" w:color="auto"/>
              <w:right w:val="single" w:sz="4" w:space="0" w:color="auto"/>
            </w:tcBorders>
            <w:vAlign w:val="center"/>
          </w:tcPr>
          <w:p w14:paraId="00FD82BB" w14:textId="180BEF71" w:rsidR="003132CB" w:rsidRPr="0021669F" w:rsidRDefault="00DC0281">
            <w:pPr>
              <w:autoSpaceDE w:val="0"/>
              <w:autoSpaceDN w:val="0"/>
              <w:adjustRightInd w:val="0"/>
              <w:spacing w:line="161" w:lineRule="atLeast"/>
              <w:jc w:val="center"/>
              <w:rPr>
                <w:rFonts w:cs="Arial"/>
                <w:szCs w:val="22"/>
              </w:rPr>
            </w:pPr>
            <w:r w:rsidRPr="0021669F">
              <w:rPr>
                <w:rFonts w:cs="Arial"/>
                <w:szCs w:val="22"/>
              </w:rPr>
              <w:t>5.5%</w:t>
            </w:r>
          </w:p>
        </w:tc>
      </w:tr>
      <w:tr w:rsidR="003132CB" w:rsidRPr="0021669F" w14:paraId="50CBEFC5" w14:textId="77777777" w:rsidTr="00AA511A">
        <w:trPr>
          <w:trHeight w:val="119"/>
          <w:tblHeader/>
        </w:trPr>
        <w:tc>
          <w:tcPr>
            <w:tcW w:w="2328" w:type="dxa"/>
            <w:tcBorders>
              <w:top w:val="single" w:sz="4" w:space="0" w:color="auto"/>
              <w:left w:val="single" w:sz="4" w:space="0" w:color="auto"/>
              <w:bottom w:val="single" w:sz="4" w:space="0" w:color="auto"/>
              <w:right w:val="single" w:sz="4" w:space="0" w:color="auto"/>
            </w:tcBorders>
            <w:hideMark/>
          </w:tcPr>
          <w:p w14:paraId="732EEBA2" w14:textId="77777777" w:rsidR="003132CB" w:rsidRPr="0021669F" w:rsidRDefault="003132CB">
            <w:pPr>
              <w:autoSpaceDE w:val="0"/>
              <w:autoSpaceDN w:val="0"/>
              <w:adjustRightInd w:val="0"/>
              <w:spacing w:line="161" w:lineRule="atLeast"/>
              <w:rPr>
                <w:rFonts w:cs="Arial"/>
                <w:szCs w:val="22"/>
              </w:rPr>
            </w:pPr>
            <w:r w:rsidRPr="0021669F">
              <w:rPr>
                <w:rFonts w:cs="Arial"/>
                <w:szCs w:val="22"/>
              </w:rPr>
              <w:t>Private Equity</w:t>
            </w:r>
          </w:p>
        </w:tc>
        <w:tc>
          <w:tcPr>
            <w:tcW w:w="2631" w:type="dxa"/>
            <w:tcBorders>
              <w:top w:val="single" w:sz="4" w:space="0" w:color="auto"/>
              <w:left w:val="single" w:sz="4" w:space="0" w:color="auto"/>
              <w:bottom w:val="single" w:sz="4" w:space="0" w:color="auto"/>
              <w:right w:val="single" w:sz="4" w:space="0" w:color="auto"/>
            </w:tcBorders>
            <w:vAlign w:val="center"/>
          </w:tcPr>
          <w:p w14:paraId="6A12990D" w14:textId="2A857158" w:rsidR="003132CB" w:rsidRPr="0021669F" w:rsidRDefault="00DC0281">
            <w:pPr>
              <w:autoSpaceDE w:val="0"/>
              <w:autoSpaceDN w:val="0"/>
              <w:adjustRightInd w:val="0"/>
              <w:spacing w:line="161" w:lineRule="atLeast"/>
              <w:jc w:val="center"/>
              <w:rPr>
                <w:rFonts w:cs="Arial"/>
                <w:szCs w:val="22"/>
              </w:rPr>
            </w:pPr>
            <w:r w:rsidRPr="0021669F">
              <w:rPr>
                <w:rFonts w:cs="Arial"/>
                <w:szCs w:val="22"/>
              </w:rPr>
              <w:t>25.0%</w:t>
            </w:r>
          </w:p>
        </w:tc>
        <w:tc>
          <w:tcPr>
            <w:tcW w:w="2632" w:type="dxa"/>
            <w:tcBorders>
              <w:top w:val="single" w:sz="4" w:space="0" w:color="auto"/>
              <w:left w:val="single" w:sz="4" w:space="0" w:color="auto"/>
              <w:bottom w:val="single" w:sz="4" w:space="0" w:color="auto"/>
              <w:right w:val="single" w:sz="4" w:space="0" w:color="auto"/>
            </w:tcBorders>
            <w:vAlign w:val="center"/>
          </w:tcPr>
          <w:p w14:paraId="66867F3B" w14:textId="0A9BCE56" w:rsidR="003132CB" w:rsidRPr="0021669F" w:rsidRDefault="00DC0281">
            <w:pPr>
              <w:autoSpaceDE w:val="0"/>
              <w:autoSpaceDN w:val="0"/>
              <w:adjustRightInd w:val="0"/>
              <w:spacing w:line="161" w:lineRule="atLeast"/>
              <w:jc w:val="center"/>
              <w:rPr>
                <w:rFonts w:cs="Arial"/>
                <w:szCs w:val="22"/>
              </w:rPr>
            </w:pPr>
            <w:r w:rsidRPr="0021669F">
              <w:rPr>
                <w:rFonts w:cs="Arial"/>
                <w:szCs w:val="22"/>
              </w:rPr>
              <w:t>8.5%</w:t>
            </w:r>
          </w:p>
        </w:tc>
      </w:tr>
    </w:tbl>
    <w:p w14:paraId="3ABA43A4" w14:textId="77777777" w:rsidR="003132CB" w:rsidRPr="0021669F" w:rsidRDefault="003132CB" w:rsidP="003132CB">
      <w:pPr>
        <w:autoSpaceDE w:val="0"/>
        <w:autoSpaceDN w:val="0"/>
        <w:adjustRightInd w:val="0"/>
        <w:spacing w:line="201" w:lineRule="atLeast"/>
        <w:rPr>
          <w:rFonts w:cs="Arial"/>
          <w:szCs w:val="22"/>
        </w:rPr>
      </w:pPr>
    </w:p>
    <w:p w14:paraId="16C1B3B6" w14:textId="7F4742ED" w:rsidR="003132CB" w:rsidRPr="0021669F" w:rsidRDefault="003132CB" w:rsidP="003132CB">
      <w:pPr>
        <w:autoSpaceDE w:val="0"/>
        <w:autoSpaceDN w:val="0"/>
        <w:adjustRightInd w:val="0"/>
        <w:spacing w:line="201" w:lineRule="atLeast"/>
        <w:rPr>
          <w:rFonts w:cs="Arial"/>
          <w:szCs w:val="22"/>
        </w:rPr>
      </w:pPr>
      <w:r w:rsidRPr="0021669F">
        <w:rPr>
          <w:rFonts w:cs="Arial"/>
          <w:szCs w:val="22"/>
        </w:rPr>
        <w:t>The inflation component used to create the above table was 2.</w:t>
      </w:r>
      <w:r w:rsidR="008A1073" w:rsidRPr="0021669F">
        <w:rPr>
          <w:rFonts w:cs="Arial"/>
          <w:szCs w:val="22"/>
        </w:rPr>
        <w:t>50</w:t>
      </w:r>
      <w:r w:rsidRPr="0021669F">
        <w:rPr>
          <w:rFonts w:cs="Arial"/>
          <w:szCs w:val="22"/>
        </w:rPr>
        <w:t xml:space="preserve">% and represents WSIB’s long-term estimate of broad economic </w:t>
      </w:r>
      <w:bookmarkStart w:id="17" w:name="_Hlk149135705"/>
      <w:r w:rsidRPr="0021669F">
        <w:rPr>
          <w:rFonts w:cs="Arial"/>
          <w:szCs w:val="22"/>
        </w:rPr>
        <w:t>inflation consistent with their 20</w:t>
      </w:r>
      <w:r w:rsidR="00DC0281" w:rsidRPr="0021669F">
        <w:rPr>
          <w:rFonts w:cs="Arial"/>
          <w:szCs w:val="22"/>
        </w:rPr>
        <w:t>2</w:t>
      </w:r>
      <w:r w:rsidR="00C536E0" w:rsidRPr="0021669F">
        <w:rPr>
          <w:rFonts w:cs="Arial"/>
          <w:szCs w:val="22"/>
        </w:rPr>
        <w:t>5</w:t>
      </w:r>
      <w:r w:rsidRPr="0021669F">
        <w:rPr>
          <w:rFonts w:cs="Arial"/>
          <w:szCs w:val="22"/>
        </w:rPr>
        <w:t xml:space="preserve"> CMAs</w:t>
      </w:r>
      <w:bookmarkEnd w:id="17"/>
      <w:r w:rsidRPr="0021669F">
        <w:rPr>
          <w:rFonts w:cs="Arial"/>
          <w:szCs w:val="22"/>
        </w:rPr>
        <w:t>.</w:t>
      </w:r>
    </w:p>
    <w:p w14:paraId="20180B63" w14:textId="77777777" w:rsidR="003132CB" w:rsidRPr="0021669F" w:rsidRDefault="003132CB" w:rsidP="003132CB">
      <w:pPr>
        <w:rPr>
          <w:rFonts w:cs="Arial"/>
          <w:b/>
          <w:szCs w:val="22"/>
        </w:rPr>
      </w:pPr>
    </w:p>
    <w:p w14:paraId="55798644" w14:textId="77777777" w:rsidR="003132CB" w:rsidRPr="0021669F" w:rsidRDefault="003132CB" w:rsidP="003132CB">
      <w:pPr>
        <w:pStyle w:val="Heading4"/>
        <w:ind w:left="0"/>
      </w:pPr>
      <w:r w:rsidRPr="0021669F">
        <w:t xml:space="preserve">Discount Rate </w:t>
      </w:r>
    </w:p>
    <w:p w14:paraId="3220CC79" w14:textId="60F74B8C" w:rsidR="003132CB" w:rsidRPr="0021669F" w:rsidRDefault="003132CB" w:rsidP="003132CB">
      <w:pPr>
        <w:rPr>
          <w:rFonts w:cs="Segoe UI"/>
          <w:szCs w:val="22"/>
        </w:rPr>
      </w:pPr>
      <w:r w:rsidRPr="0021669F">
        <w:rPr>
          <w:rFonts w:eastAsiaTheme="minorHAnsi" w:cs="Segoe UI"/>
          <w:szCs w:val="22"/>
        </w:rPr>
        <w:t>The discount rate used to measure the total pension liability was 7.</w:t>
      </w:r>
      <w:r w:rsidR="00DC0281" w:rsidRPr="0021669F">
        <w:rPr>
          <w:rFonts w:eastAsiaTheme="minorHAnsi" w:cs="Segoe UI"/>
          <w:szCs w:val="22"/>
        </w:rPr>
        <w:t>25</w:t>
      </w:r>
      <w:r w:rsidRPr="0021669F">
        <w:rPr>
          <w:rFonts w:eastAsiaTheme="minorHAnsi" w:cs="Segoe UI"/>
          <w:szCs w:val="22"/>
        </w:rPr>
        <w:t>%. To determine the discount rate, an asset sufficiency test was completed to test whether the pension plan’s fiduciary net position was sufficient to make all projected future benefit payments of current plan members.</w:t>
      </w:r>
      <w:r w:rsidRPr="0021669F">
        <w:rPr>
          <w:rFonts w:cs="Segoe UI"/>
          <w:szCs w:val="22"/>
        </w:rPr>
        <w:t xml:space="preserve"> </w:t>
      </w:r>
    </w:p>
    <w:p w14:paraId="2F511BC5" w14:textId="77777777" w:rsidR="003132CB" w:rsidRPr="0021669F" w:rsidRDefault="003132CB" w:rsidP="003132CB">
      <w:pPr>
        <w:rPr>
          <w:rFonts w:cs="Segoe UI"/>
          <w:szCs w:val="22"/>
        </w:rPr>
      </w:pPr>
    </w:p>
    <w:p w14:paraId="55A317ED" w14:textId="55A3E5F6" w:rsidR="003132CB" w:rsidRPr="0021669F" w:rsidRDefault="003132CB" w:rsidP="003132CB">
      <w:pPr>
        <w:rPr>
          <w:rFonts w:cs="Segoe UI"/>
          <w:szCs w:val="22"/>
          <w:u w:val="single"/>
        </w:rPr>
      </w:pPr>
      <w:r w:rsidRPr="0021669F">
        <w:rPr>
          <w:rFonts w:cs="Segoe UI"/>
          <w:szCs w:val="22"/>
        </w:rPr>
        <w:t xml:space="preserve">Based on the assumptions described in the DRS Certification Letter, the pension plan’s fiduciary net position was projected to be available to make all projected future benefit payments of current plan members. Therefore, </w:t>
      </w:r>
      <w:r w:rsidRPr="0021669F">
        <w:rPr>
          <w:rFonts w:eastAsiaTheme="minorHAnsi" w:cs="Segoe UI"/>
          <w:szCs w:val="22"/>
        </w:rPr>
        <w:t>the long-term expected rate of return</w:t>
      </w:r>
      <w:r w:rsidR="00994A12" w:rsidRPr="0021669F">
        <w:rPr>
          <w:rFonts w:eastAsiaTheme="minorHAnsi" w:cs="Segoe UI"/>
          <w:szCs w:val="22"/>
        </w:rPr>
        <w:t xml:space="preserve"> of </w:t>
      </w:r>
      <w:r w:rsidRPr="0021669F">
        <w:rPr>
          <w:rFonts w:eastAsiaTheme="minorHAnsi" w:cs="Segoe UI"/>
          <w:szCs w:val="22"/>
        </w:rPr>
        <w:t>7</w:t>
      </w:r>
      <w:r w:rsidR="00994A12" w:rsidRPr="0021669F">
        <w:rPr>
          <w:rFonts w:eastAsiaTheme="minorHAnsi" w:cs="Segoe UI"/>
          <w:szCs w:val="22"/>
        </w:rPr>
        <w:t>.</w:t>
      </w:r>
      <w:r w:rsidR="00DC0281" w:rsidRPr="0021669F">
        <w:rPr>
          <w:rFonts w:eastAsiaTheme="minorHAnsi" w:cs="Segoe UI"/>
          <w:szCs w:val="22"/>
        </w:rPr>
        <w:t>25</w:t>
      </w:r>
      <w:r w:rsidRPr="0021669F">
        <w:rPr>
          <w:rFonts w:eastAsiaTheme="minorHAnsi" w:cs="Segoe UI"/>
          <w:szCs w:val="22"/>
        </w:rPr>
        <w:t xml:space="preserve">% </w:t>
      </w:r>
      <w:r w:rsidRPr="0021669F">
        <w:rPr>
          <w:rFonts w:cs="Segoe UI"/>
          <w:szCs w:val="22"/>
        </w:rPr>
        <w:t xml:space="preserve">on pension plan </w:t>
      </w:r>
      <w:r w:rsidRPr="0021669F">
        <w:rPr>
          <w:rFonts w:eastAsiaTheme="minorHAnsi" w:cs="Segoe UI"/>
          <w:szCs w:val="22"/>
        </w:rPr>
        <w:t>investment</w:t>
      </w:r>
      <w:r w:rsidRPr="0021669F">
        <w:rPr>
          <w:rFonts w:cs="Segoe UI"/>
          <w:szCs w:val="22"/>
        </w:rPr>
        <w:t>s was applied to determine the total pension liability or (asset).</w:t>
      </w:r>
      <w:r w:rsidRPr="0021669F">
        <w:rPr>
          <w:rFonts w:eastAsiaTheme="minorHAnsi" w:cs="Segoe UI"/>
          <w:szCs w:val="22"/>
        </w:rPr>
        <w:t xml:space="preserve"> </w:t>
      </w:r>
    </w:p>
    <w:p w14:paraId="6CD9C440" w14:textId="77777777" w:rsidR="003132CB" w:rsidRPr="0021669F" w:rsidRDefault="003132CB" w:rsidP="003132CB">
      <w:pPr>
        <w:rPr>
          <w:rFonts w:cs="Arial"/>
          <w:szCs w:val="22"/>
          <w:u w:val="single"/>
        </w:rPr>
      </w:pPr>
    </w:p>
    <w:p w14:paraId="794AAD54" w14:textId="2C99C014" w:rsidR="003132CB" w:rsidRPr="0021669F" w:rsidRDefault="003132CB" w:rsidP="003132CB">
      <w:pPr>
        <w:pStyle w:val="Heading2"/>
        <w:rPr>
          <w:bCs/>
        </w:rPr>
      </w:pPr>
      <w:r w:rsidRPr="0021669F">
        <w:rPr>
          <w:bCs/>
        </w:rPr>
        <w:t xml:space="preserve">Sensitivity of the Net Pension Liability </w:t>
      </w:r>
      <w:r w:rsidR="00442EA8" w:rsidRPr="0021669F">
        <w:rPr>
          <w:bCs/>
        </w:rPr>
        <w:t xml:space="preserve">or </w:t>
      </w:r>
      <w:r w:rsidRPr="0021669F">
        <w:rPr>
          <w:bCs/>
        </w:rPr>
        <w:t>(Asset) to Changes in the Discount Rate</w:t>
      </w:r>
    </w:p>
    <w:p w14:paraId="40E866E0" w14:textId="77777777" w:rsidR="003132CB" w:rsidRPr="0021669F" w:rsidRDefault="003132CB" w:rsidP="003132CB">
      <w:pPr>
        <w:rPr>
          <w:rFonts w:cs="Arial"/>
          <w:szCs w:val="22"/>
        </w:rPr>
      </w:pPr>
    </w:p>
    <w:p w14:paraId="2EBF86DA" w14:textId="184EED86" w:rsidR="003132CB" w:rsidRPr="0021669F" w:rsidRDefault="003132CB" w:rsidP="003132CB">
      <w:pPr>
        <w:rPr>
          <w:rFonts w:cs="Arial"/>
          <w:szCs w:val="22"/>
        </w:rPr>
      </w:pPr>
      <w:r w:rsidRPr="0021669F">
        <w:rPr>
          <w:rFonts w:cs="Arial"/>
          <w:szCs w:val="22"/>
        </w:rPr>
        <w:t>The following table presents the ____________ School District’s proportionate share of the collective net pension liability or asset calculated using the discount rate of 7.</w:t>
      </w:r>
      <w:r w:rsidR="00DC0281" w:rsidRPr="0021669F">
        <w:rPr>
          <w:rFonts w:cs="Arial"/>
          <w:szCs w:val="22"/>
        </w:rPr>
        <w:t>25</w:t>
      </w:r>
      <w:r w:rsidRPr="0021669F">
        <w:rPr>
          <w:rFonts w:cs="Arial"/>
          <w:szCs w:val="22"/>
        </w:rPr>
        <w:t>%, as well as what the net pension liability or asset would be if it were calculated using a discount rate that is 1 percentage-point lower (6.</w:t>
      </w:r>
      <w:r w:rsidR="00DC0281" w:rsidRPr="0021669F">
        <w:rPr>
          <w:rFonts w:cs="Arial"/>
          <w:szCs w:val="22"/>
        </w:rPr>
        <w:t>25</w:t>
      </w:r>
      <w:r w:rsidRPr="0021669F">
        <w:rPr>
          <w:rFonts w:cs="Arial"/>
          <w:szCs w:val="22"/>
        </w:rPr>
        <w:t>%) or 1 percentage-point higher (8.</w:t>
      </w:r>
      <w:r w:rsidR="00DC0281" w:rsidRPr="0021669F">
        <w:rPr>
          <w:rFonts w:cs="Arial"/>
          <w:szCs w:val="22"/>
        </w:rPr>
        <w:t>25</w:t>
      </w:r>
      <w:r w:rsidRPr="0021669F">
        <w:rPr>
          <w:rFonts w:cs="Arial"/>
          <w:szCs w:val="22"/>
        </w:rPr>
        <w:t>%) than the current rate. Amounts are calculated using the school district’s specific allocation percentage, by plan, to determine the proportionate share of the collective net pension liability or asset.</w:t>
      </w:r>
    </w:p>
    <w:p w14:paraId="04A52D1E" w14:textId="77777777" w:rsidR="003132CB" w:rsidRPr="0021669F" w:rsidRDefault="003132CB" w:rsidP="003132CB">
      <w:pPr>
        <w:rPr>
          <w:rFonts w:cs="Arial"/>
          <w:szCs w:val="22"/>
        </w:rPr>
      </w:pPr>
    </w:p>
    <w:tbl>
      <w:tblPr>
        <w:tblStyle w:val="TableGrid"/>
        <w:tblW w:w="0" w:type="auto"/>
        <w:tblLook w:val="04A0" w:firstRow="1" w:lastRow="0" w:firstColumn="1" w:lastColumn="0" w:noHBand="0" w:noVBand="1"/>
        <w:tblCaption w:val="Sensitivity of NPL to changes in the Discount Rate"/>
      </w:tblPr>
      <w:tblGrid>
        <w:gridCol w:w="2367"/>
        <w:gridCol w:w="2330"/>
        <w:gridCol w:w="2328"/>
        <w:gridCol w:w="2325"/>
      </w:tblGrid>
      <w:tr w:rsidR="003132CB" w:rsidRPr="0021669F" w14:paraId="2B339694" w14:textId="77777777" w:rsidTr="003132CB">
        <w:trPr>
          <w:cantSplit/>
          <w:trHeight w:val="611"/>
          <w:tblHeader/>
        </w:trPr>
        <w:tc>
          <w:tcPr>
            <w:tcW w:w="935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14263D" w14:textId="77777777" w:rsidR="00442EA8" w:rsidRPr="0021669F" w:rsidRDefault="00442EA8" w:rsidP="00994A12">
            <w:pPr>
              <w:pStyle w:val="Heading2"/>
              <w:rPr>
                <w:bCs/>
              </w:rPr>
            </w:pPr>
            <w:r w:rsidRPr="0021669F">
              <w:rPr>
                <w:bCs/>
              </w:rPr>
              <w:lastRenderedPageBreak/>
              <w:t>Discount Rate Sensitivity</w:t>
            </w:r>
          </w:p>
          <w:p w14:paraId="4FC09C28" w14:textId="6283D751" w:rsidR="003132CB" w:rsidRPr="0021669F" w:rsidRDefault="00442EA8" w:rsidP="00994A12">
            <w:pPr>
              <w:pStyle w:val="Heading2"/>
              <w:rPr>
                <w:bCs/>
              </w:rPr>
            </w:pPr>
            <w:r w:rsidRPr="0021669F">
              <w:rPr>
                <w:bCs/>
              </w:rPr>
              <w:t>For the Fiscal Year Ended June 30,</w:t>
            </w:r>
            <w:r w:rsidR="00994A12" w:rsidRPr="0021669F">
              <w:rPr>
                <w:bCs/>
              </w:rPr>
              <w:t xml:space="preserve"> </w:t>
            </w:r>
            <w:r w:rsidRPr="0021669F">
              <w:rPr>
                <w:bCs/>
              </w:rPr>
              <w:t>2026</w:t>
            </w:r>
          </w:p>
        </w:tc>
      </w:tr>
      <w:tr w:rsidR="003132CB" w:rsidRPr="0021669F" w14:paraId="01E6C739" w14:textId="77777777" w:rsidTr="003132CB">
        <w:trPr>
          <w:cantSplit/>
          <w:trHeight w:val="611"/>
          <w:tblHeader/>
        </w:trPr>
        <w:tc>
          <w:tcPr>
            <w:tcW w:w="2367" w:type="dxa"/>
            <w:tcBorders>
              <w:top w:val="single" w:sz="4" w:space="0" w:color="auto"/>
              <w:left w:val="single" w:sz="4" w:space="0" w:color="auto"/>
              <w:bottom w:val="single" w:sz="4" w:space="0" w:color="auto"/>
              <w:right w:val="single" w:sz="4" w:space="0" w:color="auto"/>
            </w:tcBorders>
            <w:vAlign w:val="center"/>
          </w:tcPr>
          <w:p w14:paraId="752482C1" w14:textId="77777777" w:rsidR="003132CB" w:rsidRPr="0021669F" w:rsidRDefault="003132CB">
            <w:pPr>
              <w:rPr>
                <w:rFonts w:cs="Arial"/>
                <w:szCs w:val="22"/>
              </w:rPr>
            </w:pPr>
          </w:p>
        </w:tc>
        <w:tc>
          <w:tcPr>
            <w:tcW w:w="2330" w:type="dxa"/>
            <w:tcBorders>
              <w:top w:val="single" w:sz="4" w:space="0" w:color="auto"/>
              <w:left w:val="single" w:sz="4" w:space="0" w:color="auto"/>
              <w:bottom w:val="single" w:sz="4" w:space="0" w:color="auto"/>
              <w:right w:val="single" w:sz="4" w:space="0" w:color="auto"/>
            </w:tcBorders>
            <w:vAlign w:val="center"/>
            <w:hideMark/>
          </w:tcPr>
          <w:p w14:paraId="14B921E6" w14:textId="74B1977A" w:rsidR="003132CB" w:rsidRPr="0021669F" w:rsidRDefault="003132CB">
            <w:pPr>
              <w:jc w:val="center"/>
              <w:rPr>
                <w:rFonts w:cs="Arial"/>
                <w:szCs w:val="22"/>
              </w:rPr>
            </w:pPr>
            <w:r w:rsidRPr="0021669F">
              <w:rPr>
                <w:rFonts w:cs="Arial"/>
                <w:bCs/>
                <w:szCs w:val="22"/>
              </w:rPr>
              <w:t>1% Decrease (6.</w:t>
            </w:r>
            <w:r w:rsidR="00DC0281" w:rsidRPr="0021669F">
              <w:rPr>
                <w:rFonts w:cs="Arial"/>
                <w:bCs/>
                <w:szCs w:val="22"/>
              </w:rPr>
              <w:t>25</w:t>
            </w:r>
            <w:r w:rsidRPr="0021669F">
              <w:rPr>
                <w:rFonts w:cs="Arial"/>
                <w:bCs/>
                <w:szCs w:val="22"/>
              </w:rPr>
              <w:t>%)</w:t>
            </w:r>
          </w:p>
        </w:tc>
        <w:tc>
          <w:tcPr>
            <w:tcW w:w="2328" w:type="dxa"/>
            <w:tcBorders>
              <w:top w:val="single" w:sz="4" w:space="0" w:color="auto"/>
              <w:left w:val="single" w:sz="4" w:space="0" w:color="auto"/>
              <w:bottom w:val="single" w:sz="4" w:space="0" w:color="auto"/>
              <w:right w:val="single" w:sz="4" w:space="0" w:color="auto"/>
            </w:tcBorders>
            <w:vAlign w:val="center"/>
            <w:hideMark/>
          </w:tcPr>
          <w:p w14:paraId="1D562ABB" w14:textId="1980DE84" w:rsidR="003132CB" w:rsidRPr="0021669F" w:rsidRDefault="003132CB">
            <w:pPr>
              <w:jc w:val="center"/>
              <w:rPr>
                <w:rFonts w:cs="Arial"/>
                <w:szCs w:val="22"/>
              </w:rPr>
            </w:pPr>
            <w:r w:rsidRPr="0021669F">
              <w:rPr>
                <w:rFonts w:cs="Arial"/>
                <w:bCs/>
                <w:szCs w:val="22"/>
              </w:rPr>
              <w:t>Current Discount Rate (7.</w:t>
            </w:r>
            <w:r w:rsidR="00DC0281" w:rsidRPr="0021669F">
              <w:rPr>
                <w:rFonts w:cs="Arial"/>
                <w:bCs/>
                <w:szCs w:val="22"/>
              </w:rPr>
              <w:t>25</w:t>
            </w:r>
            <w:r w:rsidRPr="0021669F">
              <w:rPr>
                <w:rFonts w:cs="Arial"/>
                <w:bCs/>
                <w:szCs w:val="22"/>
              </w:rPr>
              <w:t>%)</w:t>
            </w:r>
          </w:p>
        </w:tc>
        <w:tc>
          <w:tcPr>
            <w:tcW w:w="2325" w:type="dxa"/>
            <w:tcBorders>
              <w:top w:val="single" w:sz="4" w:space="0" w:color="auto"/>
              <w:left w:val="single" w:sz="4" w:space="0" w:color="auto"/>
              <w:bottom w:val="single" w:sz="4" w:space="0" w:color="auto"/>
              <w:right w:val="single" w:sz="4" w:space="0" w:color="auto"/>
            </w:tcBorders>
            <w:vAlign w:val="center"/>
            <w:hideMark/>
          </w:tcPr>
          <w:p w14:paraId="0DB207ED" w14:textId="506959D3" w:rsidR="003132CB" w:rsidRPr="0021669F" w:rsidRDefault="003132CB">
            <w:pPr>
              <w:jc w:val="center"/>
              <w:rPr>
                <w:rFonts w:cs="Arial"/>
                <w:szCs w:val="22"/>
              </w:rPr>
            </w:pPr>
            <w:r w:rsidRPr="0021669F">
              <w:rPr>
                <w:rFonts w:cs="Arial"/>
                <w:bCs/>
                <w:szCs w:val="22"/>
              </w:rPr>
              <w:t>1% Increase (8.</w:t>
            </w:r>
            <w:r w:rsidR="00DC0281" w:rsidRPr="0021669F">
              <w:rPr>
                <w:rFonts w:cs="Arial"/>
                <w:bCs/>
                <w:szCs w:val="22"/>
              </w:rPr>
              <w:t>25</w:t>
            </w:r>
            <w:r w:rsidRPr="0021669F">
              <w:rPr>
                <w:rFonts w:cs="Arial"/>
                <w:bCs/>
                <w:szCs w:val="22"/>
              </w:rPr>
              <w:t>%)</w:t>
            </w:r>
          </w:p>
        </w:tc>
      </w:tr>
      <w:tr w:rsidR="003132CB" w:rsidRPr="0021669F" w14:paraId="71041B98" w14:textId="77777777" w:rsidTr="003132CB">
        <w:trPr>
          <w:cantSplit/>
          <w:trHeight w:val="395"/>
        </w:trPr>
        <w:tc>
          <w:tcPr>
            <w:tcW w:w="2367" w:type="dxa"/>
            <w:tcBorders>
              <w:top w:val="single" w:sz="4" w:space="0" w:color="auto"/>
              <w:left w:val="single" w:sz="4" w:space="0" w:color="auto"/>
              <w:bottom w:val="single" w:sz="4" w:space="0" w:color="auto"/>
              <w:right w:val="single" w:sz="4" w:space="0" w:color="auto"/>
            </w:tcBorders>
            <w:vAlign w:val="center"/>
            <w:hideMark/>
          </w:tcPr>
          <w:p w14:paraId="0D758B0F" w14:textId="77777777" w:rsidR="003132CB" w:rsidRPr="0021669F" w:rsidRDefault="003132CB">
            <w:pPr>
              <w:rPr>
                <w:rFonts w:cs="Arial"/>
                <w:b/>
                <w:szCs w:val="22"/>
              </w:rPr>
            </w:pPr>
            <w:r w:rsidRPr="0021669F">
              <w:rPr>
                <w:rFonts w:cs="Arial"/>
                <w:b/>
                <w:szCs w:val="22"/>
              </w:rPr>
              <w:t xml:space="preserve">PERS 1 </w:t>
            </w:r>
          </w:p>
        </w:tc>
        <w:tc>
          <w:tcPr>
            <w:tcW w:w="2330" w:type="dxa"/>
            <w:tcBorders>
              <w:top w:val="single" w:sz="4" w:space="0" w:color="auto"/>
              <w:left w:val="single" w:sz="4" w:space="0" w:color="auto"/>
              <w:bottom w:val="single" w:sz="4" w:space="0" w:color="auto"/>
              <w:right w:val="single" w:sz="4" w:space="0" w:color="auto"/>
            </w:tcBorders>
            <w:vAlign w:val="center"/>
            <w:hideMark/>
          </w:tcPr>
          <w:p w14:paraId="71647E83" w14:textId="0A1CB634" w:rsidR="003132CB" w:rsidRPr="0021669F" w:rsidRDefault="00DC0281">
            <w:pPr>
              <w:jc w:val="center"/>
              <w:rPr>
                <w:rFonts w:cs="Arial"/>
                <w:szCs w:val="22"/>
              </w:rPr>
            </w:pPr>
            <w:r w:rsidRPr="0021669F">
              <w:rPr>
                <w:rFonts w:cs="Arial"/>
                <w:szCs w:val="22"/>
              </w:rPr>
              <w:t>$1,095,680,000</w:t>
            </w:r>
          </w:p>
        </w:tc>
        <w:tc>
          <w:tcPr>
            <w:tcW w:w="2328" w:type="dxa"/>
            <w:tcBorders>
              <w:top w:val="single" w:sz="4" w:space="0" w:color="auto"/>
              <w:left w:val="single" w:sz="4" w:space="0" w:color="auto"/>
              <w:bottom w:val="single" w:sz="4" w:space="0" w:color="auto"/>
              <w:right w:val="single" w:sz="4" w:space="0" w:color="auto"/>
            </w:tcBorders>
            <w:vAlign w:val="center"/>
            <w:hideMark/>
          </w:tcPr>
          <w:p w14:paraId="3756640C" w14:textId="6FEFFD4E" w:rsidR="003132CB" w:rsidRPr="0021669F" w:rsidRDefault="00DC0281">
            <w:pPr>
              <w:jc w:val="center"/>
              <w:rPr>
                <w:rFonts w:cs="Arial"/>
                <w:szCs w:val="22"/>
              </w:rPr>
            </w:pPr>
            <w:r w:rsidRPr="0021669F">
              <w:rPr>
                <w:rFonts w:cs="Arial"/>
                <w:szCs w:val="22"/>
              </w:rPr>
              <w:t>$413,810,000</w:t>
            </w:r>
          </w:p>
        </w:tc>
        <w:tc>
          <w:tcPr>
            <w:tcW w:w="2325" w:type="dxa"/>
            <w:tcBorders>
              <w:top w:val="single" w:sz="4" w:space="0" w:color="auto"/>
              <w:left w:val="single" w:sz="4" w:space="0" w:color="auto"/>
              <w:bottom w:val="single" w:sz="4" w:space="0" w:color="auto"/>
              <w:right w:val="single" w:sz="4" w:space="0" w:color="auto"/>
            </w:tcBorders>
            <w:vAlign w:val="center"/>
            <w:hideMark/>
          </w:tcPr>
          <w:p w14:paraId="0848EEF6" w14:textId="15458812" w:rsidR="003132CB" w:rsidRPr="0021669F" w:rsidRDefault="00DC0281">
            <w:pPr>
              <w:jc w:val="center"/>
              <w:rPr>
                <w:rFonts w:cs="Arial"/>
                <w:szCs w:val="22"/>
              </w:rPr>
            </w:pPr>
            <w:r w:rsidRPr="0021669F">
              <w:rPr>
                <w:rFonts w:cs="Arial"/>
                <w:szCs w:val="22"/>
              </w:rPr>
              <w:t>$(189,935,000)</w:t>
            </w:r>
          </w:p>
        </w:tc>
      </w:tr>
      <w:tr w:rsidR="003132CB" w:rsidRPr="0021669F" w14:paraId="4BDFA043" w14:textId="77777777" w:rsidTr="003132CB">
        <w:trPr>
          <w:cantSplit/>
        </w:trPr>
        <w:tc>
          <w:tcPr>
            <w:tcW w:w="2367" w:type="dxa"/>
            <w:tcBorders>
              <w:top w:val="single" w:sz="4" w:space="0" w:color="auto"/>
              <w:left w:val="single" w:sz="4" w:space="0" w:color="auto"/>
              <w:bottom w:val="single" w:sz="4" w:space="0" w:color="auto"/>
              <w:right w:val="single" w:sz="4" w:space="0" w:color="auto"/>
            </w:tcBorders>
            <w:vAlign w:val="center"/>
            <w:hideMark/>
          </w:tcPr>
          <w:p w14:paraId="45A39A51" w14:textId="77777777" w:rsidR="003132CB" w:rsidRPr="0021669F" w:rsidRDefault="003132CB">
            <w:pPr>
              <w:ind w:left="288"/>
              <w:rPr>
                <w:rFonts w:cs="Arial"/>
                <w:szCs w:val="22"/>
              </w:rPr>
            </w:pPr>
            <w:r w:rsidRPr="0021669F">
              <w:rPr>
                <w:rFonts w:cs="Arial"/>
                <w:szCs w:val="22"/>
              </w:rPr>
              <w:t>Allocation Percentage</w:t>
            </w:r>
          </w:p>
        </w:tc>
        <w:tc>
          <w:tcPr>
            <w:tcW w:w="2330" w:type="dxa"/>
            <w:tcBorders>
              <w:top w:val="single" w:sz="4" w:space="0" w:color="auto"/>
              <w:left w:val="single" w:sz="4" w:space="0" w:color="auto"/>
              <w:bottom w:val="single" w:sz="4" w:space="0" w:color="auto"/>
              <w:right w:val="single" w:sz="4" w:space="0" w:color="auto"/>
            </w:tcBorders>
            <w:vAlign w:val="center"/>
          </w:tcPr>
          <w:p w14:paraId="3063F842" w14:textId="77777777" w:rsidR="003132CB" w:rsidRPr="0021669F" w:rsidRDefault="003132CB">
            <w:pPr>
              <w:jc w:val="center"/>
              <w:rPr>
                <w:rFonts w:cs="Arial"/>
                <w:szCs w:val="22"/>
              </w:rPr>
            </w:pPr>
          </w:p>
        </w:tc>
        <w:tc>
          <w:tcPr>
            <w:tcW w:w="2328" w:type="dxa"/>
            <w:tcBorders>
              <w:top w:val="single" w:sz="4" w:space="0" w:color="auto"/>
              <w:left w:val="single" w:sz="4" w:space="0" w:color="auto"/>
              <w:bottom w:val="single" w:sz="4" w:space="0" w:color="auto"/>
              <w:right w:val="single" w:sz="4" w:space="0" w:color="auto"/>
            </w:tcBorders>
            <w:vAlign w:val="center"/>
          </w:tcPr>
          <w:p w14:paraId="0637C5DC" w14:textId="77777777" w:rsidR="003132CB" w:rsidRPr="0021669F" w:rsidRDefault="003132CB">
            <w:pPr>
              <w:jc w:val="center"/>
              <w:rPr>
                <w:rFonts w:cs="Arial"/>
                <w:szCs w:val="22"/>
              </w:rPr>
            </w:pPr>
          </w:p>
        </w:tc>
        <w:tc>
          <w:tcPr>
            <w:tcW w:w="2325" w:type="dxa"/>
            <w:tcBorders>
              <w:top w:val="single" w:sz="4" w:space="0" w:color="auto"/>
              <w:left w:val="single" w:sz="4" w:space="0" w:color="auto"/>
              <w:bottom w:val="single" w:sz="4" w:space="0" w:color="auto"/>
              <w:right w:val="single" w:sz="4" w:space="0" w:color="auto"/>
            </w:tcBorders>
            <w:vAlign w:val="center"/>
          </w:tcPr>
          <w:p w14:paraId="24AE4025" w14:textId="77777777" w:rsidR="003132CB" w:rsidRPr="0021669F" w:rsidRDefault="003132CB">
            <w:pPr>
              <w:jc w:val="center"/>
              <w:rPr>
                <w:rFonts w:cs="Arial"/>
                <w:szCs w:val="22"/>
              </w:rPr>
            </w:pPr>
          </w:p>
        </w:tc>
      </w:tr>
      <w:tr w:rsidR="003132CB" w:rsidRPr="0021669F" w14:paraId="04F555EF" w14:textId="77777777" w:rsidTr="003132CB">
        <w:trPr>
          <w:cantSplit/>
        </w:trPr>
        <w:tc>
          <w:tcPr>
            <w:tcW w:w="2367" w:type="dxa"/>
            <w:tcBorders>
              <w:top w:val="single" w:sz="4" w:space="0" w:color="auto"/>
              <w:left w:val="single" w:sz="4" w:space="0" w:color="auto"/>
              <w:bottom w:val="single" w:sz="4" w:space="0" w:color="auto"/>
              <w:right w:val="single" w:sz="4" w:space="0" w:color="auto"/>
            </w:tcBorders>
            <w:vAlign w:val="center"/>
            <w:hideMark/>
          </w:tcPr>
          <w:p w14:paraId="5D13F57E" w14:textId="77777777" w:rsidR="003132CB" w:rsidRPr="0021669F" w:rsidRDefault="003132CB">
            <w:pPr>
              <w:ind w:left="288"/>
              <w:rPr>
                <w:rFonts w:cs="Arial"/>
                <w:szCs w:val="22"/>
              </w:rPr>
            </w:pPr>
            <w:r w:rsidRPr="0021669F">
              <w:rPr>
                <w:rFonts w:cs="Arial"/>
                <w:szCs w:val="22"/>
              </w:rPr>
              <w:t xml:space="preserve">Proportionate Share  </w:t>
            </w:r>
          </w:p>
        </w:tc>
        <w:tc>
          <w:tcPr>
            <w:tcW w:w="2330" w:type="dxa"/>
            <w:tcBorders>
              <w:top w:val="single" w:sz="4" w:space="0" w:color="auto"/>
              <w:left w:val="single" w:sz="4" w:space="0" w:color="auto"/>
              <w:bottom w:val="single" w:sz="4" w:space="0" w:color="auto"/>
              <w:right w:val="single" w:sz="4" w:space="0" w:color="auto"/>
            </w:tcBorders>
            <w:vAlign w:val="center"/>
          </w:tcPr>
          <w:p w14:paraId="61BDC3BB" w14:textId="77777777" w:rsidR="003132CB" w:rsidRPr="0021669F" w:rsidRDefault="003132CB">
            <w:pPr>
              <w:jc w:val="center"/>
              <w:rPr>
                <w:rFonts w:cs="Arial"/>
                <w:szCs w:val="22"/>
              </w:rPr>
            </w:pPr>
          </w:p>
        </w:tc>
        <w:tc>
          <w:tcPr>
            <w:tcW w:w="2328" w:type="dxa"/>
            <w:tcBorders>
              <w:top w:val="single" w:sz="4" w:space="0" w:color="auto"/>
              <w:left w:val="single" w:sz="4" w:space="0" w:color="auto"/>
              <w:bottom w:val="single" w:sz="4" w:space="0" w:color="auto"/>
              <w:right w:val="single" w:sz="4" w:space="0" w:color="auto"/>
            </w:tcBorders>
            <w:vAlign w:val="center"/>
          </w:tcPr>
          <w:p w14:paraId="480AB86C" w14:textId="77777777" w:rsidR="003132CB" w:rsidRPr="0021669F" w:rsidRDefault="003132CB">
            <w:pPr>
              <w:jc w:val="center"/>
              <w:rPr>
                <w:rFonts w:cs="Arial"/>
                <w:szCs w:val="22"/>
              </w:rPr>
            </w:pPr>
          </w:p>
        </w:tc>
        <w:tc>
          <w:tcPr>
            <w:tcW w:w="2325" w:type="dxa"/>
            <w:tcBorders>
              <w:top w:val="single" w:sz="4" w:space="0" w:color="auto"/>
              <w:left w:val="single" w:sz="4" w:space="0" w:color="auto"/>
              <w:bottom w:val="single" w:sz="4" w:space="0" w:color="auto"/>
              <w:right w:val="single" w:sz="4" w:space="0" w:color="auto"/>
            </w:tcBorders>
            <w:vAlign w:val="center"/>
          </w:tcPr>
          <w:p w14:paraId="5E51D8C1" w14:textId="77777777" w:rsidR="003132CB" w:rsidRPr="0021669F" w:rsidRDefault="003132CB">
            <w:pPr>
              <w:jc w:val="center"/>
              <w:rPr>
                <w:rFonts w:cs="Arial"/>
                <w:szCs w:val="22"/>
              </w:rPr>
            </w:pPr>
          </w:p>
        </w:tc>
      </w:tr>
      <w:tr w:rsidR="003132CB" w:rsidRPr="0021669F" w14:paraId="1E2FB277" w14:textId="77777777" w:rsidTr="003132CB">
        <w:trPr>
          <w:cantSplit/>
          <w:trHeight w:val="98"/>
        </w:trPr>
        <w:tc>
          <w:tcPr>
            <w:tcW w:w="935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EE61ED" w14:textId="77777777" w:rsidR="003132CB" w:rsidRPr="0021669F" w:rsidRDefault="003132CB">
            <w:pPr>
              <w:rPr>
                <w:rFonts w:cs="Arial"/>
                <w:sz w:val="10"/>
                <w:szCs w:val="22"/>
              </w:rPr>
            </w:pPr>
            <w:r w:rsidRPr="0021669F">
              <w:rPr>
                <w:rFonts w:ascii="Calibri" w:hAnsi="Calibri"/>
                <w:sz w:val="10"/>
              </w:rPr>
              <w:t>  </w:t>
            </w:r>
          </w:p>
        </w:tc>
      </w:tr>
      <w:tr w:rsidR="003132CB" w:rsidRPr="0021669F" w14:paraId="51C4B5D0" w14:textId="77777777" w:rsidTr="003132CB">
        <w:trPr>
          <w:cantSplit/>
          <w:trHeight w:val="323"/>
        </w:trPr>
        <w:tc>
          <w:tcPr>
            <w:tcW w:w="2367" w:type="dxa"/>
            <w:tcBorders>
              <w:top w:val="single" w:sz="4" w:space="0" w:color="auto"/>
              <w:left w:val="single" w:sz="4" w:space="0" w:color="auto"/>
              <w:bottom w:val="single" w:sz="4" w:space="0" w:color="auto"/>
              <w:right w:val="single" w:sz="4" w:space="0" w:color="auto"/>
            </w:tcBorders>
            <w:vAlign w:val="center"/>
            <w:hideMark/>
          </w:tcPr>
          <w:p w14:paraId="26DE5241" w14:textId="77777777" w:rsidR="003132CB" w:rsidRPr="0021669F" w:rsidRDefault="003132CB">
            <w:pPr>
              <w:rPr>
                <w:rFonts w:cs="Arial"/>
                <w:b/>
                <w:szCs w:val="22"/>
              </w:rPr>
            </w:pPr>
            <w:r w:rsidRPr="0021669F">
              <w:rPr>
                <w:rFonts w:cs="Arial"/>
                <w:b/>
                <w:szCs w:val="22"/>
              </w:rPr>
              <w:t xml:space="preserve">SERS 2/3 </w:t>
            </w:r>
          </w:p>
        </w:tc>
        <w:tc>
          <w:tcPr>
            <w:tcW w:w="2330" w:type="dxa"/>
            <w:tcBorders>
              <w:top w:val="single" w:sz="4" w:space="0" w:color="auto"/>
              <w:left w:val="single" w:sz="4" w:space="0" w:color="auto"/>
              <w:bottom w:val="single" w:sz="4" w:space="0" w:color="auto"/>
              <w:right w:val="single" w:sz="4" w:space="0" w:color="auto"/>
            </w:tcBorders>
            <w:vAlign w:val="center"/>
            <w:hideMark/>
          </w:tcPr>
          <w:p w14:paraId="3A0644FB" w14:textId="5E149EE2" w:rsidR="003132CB" w:rsidRPr="0021669F" w:rsidRDefault="00DC0281">
            <w:pPr>
              <w:jc w:val="center"/>
              <w:rPr>
                <w:rFonts w:cs="Arial"/>
                <w:szCs w:val="22"/>
              </w:rPr>
            </w:pPr>
            <w:r w:rsidRPr="0021669F">
              <w:rPr>
                <w:rFonts w:cs="Segoe UI"/>
                <w:color w:val="000000"/>
                <w:szCs w:val="22"/>
              </w:rPr>
              <w:t>$572,002,000</w:t>
            </w:r>
            <w:r w:rsidR="003132CB" w:rsidRPr="0021669F">
              <w:rPr>
                <w:rFonts w:cs="Segoe UI"/>
                <w:color w:val="000000"/>
                <w:szCs w:val="22"/>
              </w:rPr>
              <w:t xml:space="preserve"> </w:t>
            </w:r>
          </w:p>
        </w:tc>
        <w:tc>
          <w:tcPr>
            <w:tcW w:w="2328" w:type="dxa"/>
            <w:tcBorders>
              <w:top w:val="single" w:sz="4" w:space="0" w:color="auto"/>
              <w:left w:val="single" w:sz="4" w:space="0" w:color="auto"/>
              <w:bottom w:val="single" w:sz="4" w:space="0" w:color="auto"/>
              <w:right w:val="single" w:sz="4" w:space="0" w:color="auto"/>
            </w:tcBorders>
            <w:vAlign w:val="center"/>
            <w:hideMark/>
          </w:tcPr>
          <w:p w14:paraId="1D9121F5" w14:textId="6D9CA87E" w:rsidR="003132CB" w:rsidRPr="0021669F" w:rsidRDefault="00DC0281">
            <w:pPr>
              <w:jc w:val="center"/>
              <w:rPr>
                <w:rFonts w:cs="Arial"/>
                <w:szCs w:val="22"/>
              </w:rPr>
            </w:pPr>
            <w:r w:rsidRPr="0021669F">
              <w:rPr>
                <w:rFonts w:cs="Arial"/>
                <w:szCs w:val="22"/>
              </w:rPr>
              <w:t>$(997,731,000)</w:t>
            </w:r>
          </w:p>
        </w:tc>
        <w:tc>
          <w:tcPr>
            <w:tcW w:w="2325" w:type="dxa"/>
            <w:tcBorders>
              <w:top w:val="single" w:sz="4" w:space="0" w:color="auto"/>
              <w:left w:val="single" w:sz="4" w:space="0" w:color="auto"/>
              <w:bottom w:val="single" w:sz="4" w:space="0" w:color="auto"/>
              <w:right w:val="single" w:sz="4" w:space="0" w:color="auto"/>
            </w:tcBorders>
            <w:vAlign w:val="center"/>
            <w:hideMark/>
          </w:tcPr>
          <w:p w14:paraId="63D08680" w14:textId="55CE14F7" w:rsidR="003132CB" w:rsidRPr="0021669F" w:rsidRDefault="00DC0281">
            <w:pPr>
              <w:jc w:val="center"/>
              <w:rPr>
                <w:rFonts w:cs="Arial"/>
                <w:szCs w:val="22"/>
              </w:rPr>
            </w:pPr>
            <w:r w:rsidRPr="0021669F">
              <w:rPr>
                <w:rFonts w:cs="Arial"/>
                <w:szCs w:val="22"/>
              </w:rPr>
              <w:t>$(2,295,028,000)</w:t>
            </w:r>
          </w:p>
        </w:tc>
      </w:tr>
      <w:tr w:rsidR="003132CB" w:rsidRPr="0021669F" w14:paraId="15294B81" w14:textId="77777777" w:rsidTr="003132CB">
        <w:trPr>
          <w:cantSplit/>
        </w:trPr>
        <w:tc>
          <w:tcPr>
            <w:tcW w:w="2367" w:type="dxa"/>
            <w:tcBorders>
              <w:top w:val="single" w:sz="4" w:space="0" w:color="auto"/>
              <w:left w:val="single" w:sz="4" w:space="0" w:color="auto"/>
              <w:bottom w:val="single" w:sz="4" w:space="0" w:color="auto"/>
              <w:right w:val="single" w:sz="4" w:space="0" w:color="auto"/>
            </w:tcBorders>
            <w:vAlign w:val="center"/>
            <w:hideMark/>
          </w:tcPr>
          <w:p w14:paraId="027FDA30" w14:textId="77777777" w:rsidR="003132CB" w:rsidRPr="0021669F" w:rsidRDefault="003132CB">
            <w:pPr>
              <w:ind w:left="288"/>
              <w:rPr>
                <w:rFonts w:cs="Arial"/>
                <w:szCs w:val="22"/>
              </w:rPr>
            </w:pPr>
            <w:r w:rsidRPr="0021669F">
              <w:rPr>
                <w:rFonts w:cs="Arial"/>
                <w:szCs w:val="22"/>
              </w:rPr>
              <w:t>Allocation Percentage</w:t>
            </w:r>
          </w:p>
        </w:tc>
        <w:tc>
          <w:tcPr>
            <w:tcW w:w="2330" w:type="dxa"/>
            <w:tcBorders>
              <w:top w:val="single" w:sz="4" w:space="0" w:color="auto"/>
              <w:left w:val="single" w:sz="4" w:space="0" w:color="auto"/>
              <w:bottom w:val="single" w:sz="4" w:space="0" w:color="auto"/>
              <w:right w:val="single" w:sz="4" w:space="0" w:color="auto"/>
            </w:tcBorders>
            <w:vAlign w:val="center"/>
          </w:tcPr>
          <w:p w14:paraId="7DE20CF2" w14:textId="77777777" w:rsidR="003132CB" w:rsidRPr="0021669F" w:rsidRDefault="003132CB">
            <w:pPr>
              <w:jc w:val="center"/>
              <w:rPr>
                <w:rFonts w:cs="Arial"/>
                <w:szCs w:val="22"/>
              </w:rPr>
            </w:pPr>
          </w:p>
        </w:tc>
        <w:tc>
          <w:tcPr>
            <w:tcW w:w="2328" w:type="dxa"/>
            <w:tcBorders>
              <w:top w:val="single" w:sz="4" w:space="0" w:color="auto"/>
              <w:left w:val="single" w:sz="4" w:space="0" w:color="auto"/>
              <w:bottom w:val="single" w:sz="4" w:space="0" w:color="auto"/>
              <w:right w:val="single" w:sz="4" w:space="0" w:color="auto"/>
            </w:tcBorders>
            <w:vAlign w:val="center"/>
          </w:tcPr>
          <w:p w14:paraId="641791E1" w14:textId="77777777" w:rsidR="003132CB" w:rsidRPr="0021669F" w:rsidRDefault="003132CB">
            <w:pPr>
              <w:jc w:val="center"/>
              <w:rPr>
                <w:rFonts w:cs="Arial"/>
                <w:szCs w:val="22"/>
              </w:rPr>
            </w:pPr>
          </w:p>
        </w:tc>
        <w:tc>
          <w:tcPr>
            <w:tcW w:w="2325" w:type="dxa"/>
            <w:tcBorders>
              <w:top w:val="single" w:sz="4" w:space="0" w:color="auto"/>
              <w:left w:val="single" w:sz="4" w:space="0" w:color="auto"/>
              <w:bottom w:val="single" w:sz="4" w:space="0" w:color="auto"/>
              <w:right w:val="single" w:sz="4" w:space="0" w:color="auto"/>
            </w:tcBorders>
            <w:vAlign w:val="center"/>
          </w:tcPr>
          <w:p w14:paraId="77446024" w14:textId="77777777" w:rsidR="003132CB" w:rsidRPr="0021669F" w:rsidRDefault="003132CB">
            <w:pPr>
              <w:jc w:val="center"/>
              <w:rPr>
                <w:rFonts w:cs="Arial"/>
                <w:szCs w:val="22"/>
              </w:rPr>
            </w:pPr>
          </w:p>
        </w:tc>
      </w:tr>
      <w:tr w:rsidR="003132CB" w14:paraId="05582C6B" w14:textId="77777777" w:rsidTr="003132CB">
        <w:trPr>
          <w:cantSplit/>
        </w:trPr>
        <w:tc>
          <w:tcPr>
            <w:tcW w:w="2367" w:type="dxa"/>
            <w:tcBorders>
              <w:top w:val="single" w:sz="4" w:space="0" w:color="auto"/>
              <w:left w:val="single" w:sz="4" w:space="0" w:color="auto"/>
              <w:bottom w:val="single" w:sz="4" w:space="0" w:color="auto"/>
              <w:right w:val="single" w:sz="4" w:space="0" w:color="auto"/>
            </w:tcBorders>
            <w:vAlign w:val="center"/>
            <w:hideMark/>
          </w:tcPr>
          <w:p w14:paraId="6C42423E" w14:textId="77777777" w:rsidR="003132CB" w:rsidRDefault="003132CB">
            <w:pPr>
              <w:ind w:left="288"/>
              <w:rPr>
                <w:rFonts w:cs="Arial"/>
                <w:szCs w:val="22"/>
              </w:rPr>
            </w:pPr>
            <w:r w:rsidRPr="0021669F">
              <w:rPr>
                <w:rFonts w:cs="Arial"/>
                <w:szCs w:val="22"/>
              </w:rPr>
              <w:t>Proportionate Share</w:t>
            </w:r>
            <w:r>
              <w:rPr>
                <w:rFonts w:cs="Arial"/>
                <w:szCs w:val="22"/>
              </w:rPr>
              <w:t xml:space="preserve">  </w:t>
            </w:r>
          </w:p>
        </w:tc>
        <w:tc>
          <w:tcPr>
            <w:tcW w:w="2330" w:type="dxa"/>
            <w:tcBorders>
              <w:top w:val="single" w:sz="4" w:space="0" w:color="auto"/>
              <w:left w:val="single" w:sz="4" w:space="0" w:color="auto"/>
              <w:bottom w:val="single" w:sz="4" w:space="0" w:color="auto"/>
              <w:right w:val="single" w:sz="4" w:space="0" w:color="auto"/>
            </w:tcBorders>
            <w:vAlign w:val="center"/>
          </w:tcPr>
          <w:p w14:paraId="44F42F12" w14:textId="77777777" w:rsidR="003132CB" w:rsidRDefault="003132CB">
            <w:pPr>
              <w:jc w:val="center"/>
              <w:rPr>
                <w:rFonts w:cs="Arial"/>
                <w:szCs w:val="22"/>
              </w:rPr>
            </w:pPr>
          </w:p>
        </w:tc>
        <w:tc>
          <w:tcPr>
            <w:tcW w:w="2328" w:type="dxa"/>
            <w:tcBorders>
              <w:top w:val="single" w:sz="4" w:space="0" w:color="auto"/>
              <w:left w:val="single" w:sz="4" w:space="0" w:color="auto"/>
              <w:bottom w:val="single" w:sz="4" w:space="0" w:color="auto"/>
              <w:right w:val="single" w:sz="4" w:space="0" w:color="auto"/>
            </w:tcBorders>
            <w:vAlign w:val="center"/>
          </w:tcPr>
          <w:p w14:paraId="66BEAAC4" w14:textId="77777777" w:rsidR="003132CB" w:rsidRDefault="003132CB">
            <w:pPr>
              <w:jc w:val="center"/>
              <w:rPr>
                <w:rFonts w:cs="Arial"/>
                <w:szCs w:val="22"/>
              </w:rPr>
            </w:pPr>
          </w:p>
        </w:tc>
        <w:tc>
          <w:tcPr>
            <w:tcW w:w="2325" w:type="dxa"/>
            <w:tcBorders>
              <w:top w:val="single" w:sz="4" w:space="0" w:color="auto"/>
              <w:left w:val="single" w:sz="4" w:space="0" w:color="auto"/>
              <w:bottom w:val="single" w:sz="4" w:space="0" w:color="auto"/>
              <w:right w:val="single" w:sz="4" w:space="0" w:color="auto"/>
            </w:tcBorders>
            <w:vAlign w:val="center"/>
          </w:tcPr>
          <w:p w14:paraId="3BAA0A41" w14:textId="77777777" w:rsidR="003132CB" w:rsidRDefault="003132CB">
            <w:pPr>
              <w:jc w:val="center"/>
              <w:rPr>
                <w:rFonts w:cs="Arial"/>
                <w:szCs w:val="22"/>
              </w:rPr>
            </w:pPr>
          </w:p>
        </w:tc>
      </w:tr>
      <w:tr w:rsidR="003132CB" w14:paraId="583453FA" w14:textId="77777777" w:rsidTr="003132CB">
        <w:trPr>
          <w:cantSplit/>
        </w:trPr>
        <w:tc>
          <w:tcPr>
            <w:tcW w:w="935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ACBF51" w14:textId="77777777" w:rsidR="003132CB" w:rsidRDefault="003132CB">
            <w:pPr>
              <w:rPr>
                <w:rFonts w:cs="Arial"/>
                <w:szCs w:val="22"/>
              </w:rPr>
            </w:pPr>
            <w:r>
              <w:rPr>
                <w:rFonts w:ascii="Calibri" w:hAnsi="Calibri"/>
                <w:sz w:val="10"/>
              </w:rPr>
              <w:t>  </w:t>
            </w:r>
          </w:p>
        </w:tc>
      </w:tr>
      <w:tr w:rsidR="003132CB" w14:paraId="4D40274D" w14:textId="77777777" w:rsidTr="003132CB">
        <w:trPr>
          <w:cantSplit/>
          <w:trHeight w:val="332"/>
        </w:trPr>
        <w:tc>
          <w:tcPr>
            <w:tcW w:w="2367" w:type="dxa"/>
            <w:tcBorders>
              <w:top w:val="single" w:sz="4" w:space="0" w:color="auto"/>
              <w:left w:val="single" w:sz="4" w:space="0" w:color="auto"/>
              <w:bottom w:val="single" w:sz="4" w:space="0" w:color="auto"/>
              <w:right w:val="single" w:sz="4" w:space="0" w:color="auto"/>
            </w:tcBorders>
            <w:vAlign w:val="center"/>
            <w:hideMark/>
          </w:tcPr>
          <w:p w14:paraId="6A867795" w14:textId="77777777" w:rsidR="003132CB" w:rsidRDefault="003132CB">
            <w:pPr>
              <w:rPr>
                <w:rFonts w:cs="Arial"/>
                <w:b/>
                <w:szCs w:val="22"/>
              </w:rPr>
            </w:pPr>
            <w:r>
              <w:rPr>
                <w:rFonts w:cs="Arial"/>
                <w:b/>
                <w:szCs w:val="22"/>
              </w:rPr>
              <w:t xml:space="preserve">TRS 1 </w:t>
            </w:r>
          </w:p>
        </w:tc>
        <w:tc>
          <w:tcPr>
            <w:tcW w:w="2330" w:type="dxa"/>
            <w:tcBorders>
              <w:top w:val="single" w:sz="4" w:space="0" w:color="auto"/>
              <w:left w:val="single" w:sz="4" w:space="0" w:color="auto"/>
              <w:bottom w:val="single" w:sz="4" w:space="0" w:color="auto"/>
              <w:right w:val="single" w:sz="4" w:space="0" w:color="auto"/>
            </w:tcBorders>
            <w:vAlign w:val="center"/>
            <w:hideMark/>
          </w:tcPr>
          <w:p w14:paraId="43A68032" w14:textId="530170B4" w:rsidR="003132CB" w:rsidRDefault="00DC0281">
            <w:pPr>
              <w:jc w:val="center"/>
              <w:rPr>
                <w:rFonts w:cs="Arial"/>
                <w:szCs w:val="22"/>
              </w:rPr>
            </w:pPr>
            <w:r>
              <w:rPr>
                <w:rFonts w:cs="Arial"/>
                <w:szCs w:val="22"/>
              </w:rPr>
              <w:t>$681,025,000</w:t>
            </w:r>
          </w:p>
        </w:tc>
        <w:tc>
          <w:tcPr>
            <w:tcW w:w="2328" w:type="dxa"/>
            <w:tcBorders>
              <w:top w:val="single" w:sz="4" w:space="0" w:color="auto"/>
              <w:left w:val="single" w:sz="4" w:space="0" w:color="auto"/>
              <w:bottom w:val="single" w:sz="4" w:space="0" w:color="auto"/>
              <w:right w:val="single" w:sz="4" w:space="0" w:color="auto"/>
            </w:tcBorders>
            <w:vAlign w:val="center"/>
            <w:hideMark/>
          </w:tcPr>
          <w:p w14:paraId="6590DBAC" w14:textId="71870992" w:rsidR="003132CB" w:rsidRDefault="00DC0281">
            <w:pPr>
              <w:jc w:val="center"/>
              <w:rPr>
                <w:rFonts w:cs="Arial"/>
                <w:szCs w:val="22"/>
              </w:rPr>
            </w:pPr>
            <w:r>
              <w:rPr>
                <w:rFonts w:cs="Arial"/>
                <w:szCs w:val="22"/>
              </w:rPr>
              <w:t>$204,626,000</w:t>
            </w:r>
          </w:p>
        </w:tc>
        <w:tc>
          <w:tcPr>
            <w:tcW w:w="2325" w:type="dxa"/>
            <w:tcBorders>
              <w:top w:val="single" w:sz="4" w:space="0" w:color="auto"/>
              <w:left w:val="single" w:sz="4" w:space="0" w:color="auto"/>
              <w:bottom w:val="single" w:sz="4" w:space="0" w:color="auto"/>
              <w:right w:val="single" w:sz="4" w:space="0" w:color="auto"/>
            </w:tcBorders>
            <w:vAlign w:val="center"/>
            <w:hideMark/>
          </w:tcPr>
          <w:p w14:paraId="014849B4" w14:textId="4A4229C0" w:rsidR="003132CB" w:rsidRDefault="00DC0281">
            <w:pPr>
              <w:jc w:val="center"/>
              <w:rPr>
                <w:rFonts w:cs="Arial"/>
                <w:szCs w:val="22"/>
              </w:rPr>
            </w:pPr>
            <w:r>
              <w:rPr>
                <w:rFonts w:cs="Arial"/>
                <w:szCs w:val="22"/>
              </w:rPr>
              <w:t>$(218,814,000)</w:t>
            </w:r>
          </w:p>
        </w:tc>
      </w:tr>
      <w:tr w:rsidR="003132CB" w14:paraId="61963CBE" w14:textId="77777777" w:rsidTr="003132CB">
        <w:trPr>
          <w:cantSplit/>
        </w:trPr>
        <w:tc>
          <w:tcPr>
            <w:tcW w:w="2367" w:type="dxa"/>
            <w:tcBorders>
              <w:top w:val="single" w:sz="4" w:space="0" w:color="auto"/>
              <w:left w:val="single" w:sz="4" w:space="0" w:color="auto"/>
              <w:bottom w:val="single" w:sz="4" w:space="0" w:color="auto"/>
              <w:right w:val="single" w:sz="4" w:space="0" w:color="auto"/>
            </w:tcBorders>
            <w:vAlign w:val="center"/>
            <w:hideMark/>
          </w:tcPr>
          <w:p w14:paraId="3130958F" w14:textId="77777777" w:rsidR="003132CB" w:rsidRDefault="003132CB">
            <w:pPr>
              <w:ind w:left="288"/>
              <w:rPr>
                <w:rFonts w:cs="Arial"/>
                <w:szCs w:val="22"/>
              </w:rPr>
            </w:pPr>
            <w:r>
              <w:rPr>
                <w:rFonts w:cs="Arial"/>
                <w:szCs w:val="22"/>
              </w:rPr>
              <w:t>Allocation Percentage</w:t>
            </w:r>
          </w:p>
        </w:tc>
        <w:tc>
          <w:tcPr>
            <w:tcW w:w="2330" w:type="dxa"/>
            <w:tcBorders>
              <w:top w:val="single" w:sz="4" w:space="0" w:color="auto"/>
              <w:left w:val="single" w:sz="4" w:space="0" w:color="auto"/>
              <w:bottom w:val="single" w:sz="4" w:space="0" w:color="auto"/>
              <w:right w:val="single" w:sz="4" w:space="0" w:color="auto"/>
            </w:tcBorders>
            <w:vAlign w:val="center"/>
          </w:tcPr>
          <w:p w14:paraId="2FE6530F" w14:textId="77777777" w:rsidR="003132CB" w:rsidRDefault="003132CB">
            <w:pPr>
              <w:jc w:val="center"/>
              <w:rPr>
                <w:rFonts w:cs="Arial"/>
                <w:szCs w:val="22"/>
              </w:rPr>
            </w:pPr>
          </w:p>
        </w:tc>
        <w:tc>
          <w:tcPr>
            <w:tcW w:w="2328" w:type="dxa"/>
            <w:tcBorders>
              <w:top w:val="single" w:sz="4" w:space="0" w:color="auto"/>
              <w:left w:val="single" w:sz="4" w:space="0" w:color="auto"/>
              <w:bottom w:val="single" w:sz="4" w:space="0" w:color="auto"/>
              <w:right w:val="single" w:sz="4" w:space="0" w:color="auto"/>
            </w:tcBorders>
            <w:vAlign w:val="center"/>
          </w:tcPr>
          <w:p w14:paraId="320D448F" w14:textId="77777777" w:rsidR="003132CB" w:rsidRDefault="003132CB">
            <w:pPr>
              <w:jc w:val="center"/>
              <w:rPr>
                <w:rFonts w:cs="Arial"/>
                <w:szCs w:val="22"/>
              </w:rPr>
            </w:pPr>
          </w:p>
        </w:tc>
        <w:tc>
          <w:tcPr>
            <w:tcW w:w="2325" w:type="dxa"/>
            <w:tcBorders>
              <w:top w:val="single" w:sz="4" w:space="0" w:color="auto"/>
              <w:left w:val="single" w:sz="4" w:space="0" w:color="auto"/>
              <w:bottom w:val="single" w:sz="4" w:space="0" w:color="auto"/>
              <w:right w:val="single" w:sz="4" w:space="0" w:color="auto"/>
            </w:tcBorders>
            <w:vAlign w:val="center"/>
          </w:tcPr>
          <w:p w14:paraId="420C012F" w14:textId="77777777" w:rsidR="003132CB" w:rsidRDefault="003132CB">
            <w:pPr>
              <w:jc w:val="center"/>
              <w:rPr>
                <w:rFonts w:cs="Arial"/>
                <w:szCs w:val="22"/>
              </w:rPr>
            </w:pPr>
          </w:p>
        </w:tc>
      </w:tr>
      <w:tr w:rsidR="003132CB" w14:paraId="415ACA18" w14:textId="77777777" w:rsidTr="003132CB">
        <w:trPr>
          <w:cantSplit/>
        </w:trPr>
        <w:tc>
          <w:tcPr>
            <w:tcW w:w="2367" w:type="dxa"/>
            <w:tcBorders>
              <w:top w:val="single" w:sz="4" w:space="0" w:color="auto"/>
              <w:left w:val="single" w:sz="4" w:space="0" w:color="auto"/>
              <w:bottom w:val="single" w:sz="4" w:space="0" w:color="auto"/>
              <w:right w:val="single" w:sz="4" w:space="0" w:color="auto"/>
            </w:tcBorders>
            <w:vAlign w:val="center"/>
            <w:hideMark/>
          </w:tcPr>
          <w:p w14:paraId="5BA5289A" w14:textId="77777777" w:rsidR="003132CB" w:rsidRDefault="003132CB">
            <w:pPr>
              <w:ind w:left="288"/>
              <w:rPr>
                <w:rFonts w:cs="Arial"/>
                <w:szCs w:val="22"/>
              </w:rPr>
            </w:pPr>
            <w:r>
              <w:rPr>
                <w:rFonts w:cs="Arial"/>
                <w:szCs w:val="22"/>
              </w:rPr>
              <w:t xml:space="preserve">Proportionate Share </w:t>
            </w:r>
          </w:p>
        </w:tc>
        <w:tc>
          <w:tcPr>
            <w:tcW w:w="2330" w:type="dxa"/>
            <w:tcBorders>
              <w:top w:val="single" w:sz="4" w:space="0" w:color="auto"/>
              <w:left w:val="single" w:sz="4" w:space="0" w:color="auto"/>
              <w:bottom w:val="single" w:sz="4" w:space="0" w:color="auto"/>
              <w:right w:val="single" w:sz="4" w:space="0" w:color="auto"/>
            </w:tcBorders>
            <w:vAlign w:val="center"/>
          </w:tcPr>
          <w:p w14:paraId="6A138524" w14:textId="77777777" w:rsidR="003132CB" w:rsidRDefault="003132CB">
            <w:pPr>
              <w:jc w:val="center"/>
              <w:rPr>
                <w:rFonts w:cs="Arial"/>
                <w:szCs w:val="22"/>
              </w:rPr>
            </w:pPr>
          </w:p>
        </w:tc>
        <w:tc>
          <w:tcPr>
            <w:tcW w:w="2328" w:type="dxa"/>
            <w:tcBorders>
              <w:top w:val="single" w:sz="4" w:space="0" w:color="auto"/>
              <w:left w:val="single" w:sz="4" w:space="0" w:color="auto"/>
              <w:bottom w:val="single" w:sz="4" w:space="0" w:color="auto"/>
              <w:right w:val="single" w:sz="4" w:space="0" w:color="auto"/>
            </w:tcBorders>
            <w:vAlign w:val="center"/>
          </w:tcPr>
          <w:p w14:paraId="09E7B72F" w14:textId="77777777" w:rsidR="003132CB" w:rsidRDefault="003132CB">
            <w:pPr>
              <w:jc w:val="center"/>
              <w:rPr>
                <w:rFonts w:cs="Arial"/>
                <w:szCs w:val="22"/>
              </w:rPr>
            </w:pPr>
          </w:p>
        </w:tc>
        <w:tc>
          <w:tcPr>
            <w:tcW w:w="2325" w:type="dxa"/>
            <w:tcBorders>
              <w:top w:val="single" w:sz="4" w:space="0" w:color="auto"/>
              <w:left w:val="single" w:sz="4" w:space="0" w:color="auto"/>
              <w:bottom w:val="single" w:sz="4" w:space="0" w:color="auto"/>
              <w:right w:val="single" w:sz="4" w:space="0" w:color="auto"/>
            </w:tcBorders>
            <w:vAlign w:val="center"/>
          </w:tcPr>
          <w:p w14:paraId="196B3847" w14:textId="77777777" w:rsidR="003132CB" w:rsidRDefault="003132CB">
            <w:pPr>
              <w:jc w:val="center"/>
              <w:rPr>
                <w:rFonts w:cs="Arial"/>
                <w:szCs w:val="22"/>
              </w:rPr>
            </w:pPr>
          </w:p>
        </w:tc>
      </w:tr>
      <w:tr w:rsidR="003132CB" w14:paraId="6D612FE8" w14:textId="77777777" w:rsidTr="003132CB">
        <w:trPr>
          <w:cantSplit/>
        </w:trPr>
        <w:tc>
          <w:tcPr>
            <w:tcW w:w="935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07CD70" w14:textId="77777777" w:rsidR="003132CB" w:rsidRDefault="003132CB">
            <w:pPr>
              <w:jc w:val="center"/>
              <w:rPr>
                <w:rFonts w:cs="Arial"/>
                <w:sz w:val="10"/>
                <w:szCs w:val="22"/>
              </w:rPr>
            </w:pPr>
          </w:p>
        </w:tc>
      </w:tr>
      <w:tr w:rsidR="003132CB" w14:paraId="607B4BF1" w14:textId="77777777" w:rsidTr="003132CB">
        <w:trPr>
          <w:cantSplit/>
          <w:trHeight w:val="377"/>
        </w:trPr>
        <w:tc>
          <w:tcPr>
            <w:tcW w:w="2367" w:type="dxa"/>
            <w:tcBorders>
              <w:top w:val="single" w:sz="4" w:space="0" w:color="auto"/>
              <w:left w:val="single" w:sz="4" w:space="0" w:color="auto"/>
              <w:bottom w:val="single" w:sz="4" w:space="0" w:color="auto"/>
              <w:right w:val="single" w:sz="4" w:space="0" w:color="auto"/>
            </w:tcBorders>
            <w:vAlign w:val="center"/>
            <w:hideMark/>
          </w:tcPr>
          <w:p w14:paraId="4477B88A" w14:textId="77777777" w:rsidR="003132CB" w:rsidRDefault="003132CB">
            <w:pPr>
              <w:rPr>
                <w:rFonts w:cs="Arial"/>
                <w:b/>
                <w:szCs w:val="22"/>
              </w:rPr>
            </w:pPr>
            <w:r>
              <w:rPr>
                <w:rFonts w:cs="Arial"/>
                <w:b/>
                <w:szCs w:val="22"/>
              </w:rPr>
              <w:t>TRS 2/3</w:t>
            </w:r>
          </w:p>
        </w:tc>
        <w:tc>
          <w:tcPr>
            <w:tcW w:w="2330" w:type="dxa"/>
            <w:tcBorders>
              <w:top w:val="single" w:sz="4" w:space="0" w:color="auto"/>
              <w:left w:val="single" w:sz="4" w:space="0" w:color="auto"/>
              <w:bottom w:val="single" w:sz="4" w:space="0" w:color="auto"/>
              <w:right w:val="single" w:sz="4" w:space="0" w:color="auto"/>
            </w:tcBorders>
            <w:vAlign w:val="center"/>
            <w:hideMark/>
          </w:tcPr>
          <w:p w14:paraId="3FEF5748" w14:textId="3DBC5E1A" w:rsidR="003132CB" w:rsidRDefault="00DC0281">
            <w:pPr>
              <w:jc w:val="center"/>
              <w:rPr>
                <w:rFonts w:cs="Arial"/>
                <w:szCs w:val="22"/>
              </w:rPr>
            </w:pPr>
            <w:r>
              <w:rPr>
                <w:rFonts w:cs="Arial"/>
                <w:szCs w:val="22"/>
              </w:rPr>
              <w:t>$2,072,827,000</w:t>
            </w:r>
          </w:p>
        </w:tc>
        <w:tc>
          <w:tcPr>
            <w:tcW w:w="2328" w:type="dxa"/>
            <w:tcBorders>
              <w:top w:val="single" w:sz="4" w:space="0" w:color="auto"/>
              <w:left w:val="single" w:sz="4" w:space="0" w:color="auto"/>
              <w:bottom w:val="single" w:sz="4" w:space="0" w:color="auto"/>
              <w:right w:val="single" w:sz="4" w:space="0" w:color="auto"/>
            </w:tcBorders>
            <w:vAlign w:val="center"/>
            <w:hideMark/>
          </w:tcPr>
          <w:p w14:paraId="5BF43421" w14:textId="7A8342C1" w:rsidR="003132CB" w:rsidRDefault="00DC0281">
            <w:pPr>
              <w:jc w:val="center"/>
              <w:rPr>
                <w:rFonts w:cs="Arial"/>
                <w:szCs w:val="22"/>
              </w:rPr>
            </w:pPr>
            <w:r>
              <w:rPr>
                <w:rFonts w:cs="Arial"/>
                <w:szCs w:val="22"/>
              </w:rPr>
              <w:t>$(</w:t>
            </w:r>
            <w:r w:rsidR="00442EA8">
              <w:rPr>
                <w:rFonts w:cs="Arial"/>
                <w:szCs w:val="22"/>
              </w:rPr>
              <w:t>2,788,161,000)</w:t>
            </w:r>
          </w:p>
        </w:tc>
        <w:tc>
          <w:tcPr>
            <w:tcW w:w="2325" w:type="dxa"/>
            <w:tcBorders>
              <w:top w:val="single" w:sz="4" w:space="0" w:color="auto"/>
              <w:left w:val="single" w:sz="4" w:space="0" w:color="auto"/>
              <w:bottom w:val="single" w:sz="4" w:space="0" w:color="auto"/>
              <w:right w:val="single" w:sz="4" w:space="0" w:color="auto"/>
            </w:tcBorders>
            <w:vAlign w:val="center"/>
            <w:hideMark/>
          </w:tcPr>
          <w:p w14:paraId="4280C110" w14:textId="42E62F42" w:rsidR="003132CB" w:rsidRDefault="00442EA8">
            <w:pPr>
              <w:jc w:val="center"/>
              <w:rPr>
                <w:rFonts w:cs="Arial"/>
                <w:szCs w:val="22"/>
              </w:rPr>
            </w:pPr>
            <w:r>
              <w:rPr>
                <w:rFonts w:cs="Arial"/>
                <w:szCs w:val="22"/>
              </w:rPr>
              <w:t>$(6,763,499,000)</w:t>
            </w:r>
          </w:p>
        </w:tc>
      </w:tr>
      <w:tr w:rsidR="003132CB" w14:paraId="7398CB33" w14:textId="77777777" w:rsidTr="003132CB">
        <w:trPr>
          <w:cantSplit/>
        </w:trPr>
        <w:tc>
          <w:tcPr>
            <w:tcW w:w="2367" w:type="dxa"/>
            <w:tcBorders>
              <w:top w:val="single" w:sz="4" w:space="0" w:color="auto"/>
              <w:left w:val="single" w:sz="4" w:space="0" w:color="auto"/>
              <w:bottom w:val="single" w:sz="4" w:space="0" w:color="auto"/>
              <w:right w:val="single" w:sz="4" w:space="0" w:color="auto"/>
            </w:tcBorders>
            <w:vAlign w:val="center"/>
            <w:hideMark/>
          </w:tcPr>
          <w:p w14:paraId="751D412D" w14:textId="77777777" w:rsidR="003132CB" w:rsidRDefault="003132CB">
            <w:pPr>
              <w:ind w:left="288"/>
              <w:rPr>
                <w:rFonts w:cs="Arial"/>
                <w:szCs w:val="22"/>
              </w:rPr>
            </w:pPr>
            <w:r>
              <w:rPr>
                <w:rFonts w:cs="Arial"/>
                <w:szCs w:val="22"/>
              </w:rPr>
              <w:t>Allocation Percentage</w:t>
            </w:r>
          </w:p>
        </w:tc>
        <w:tc>
          <w:tcPr>
            <w:tcW w:w="2330" w:type="dxa"/>
            <w:tcBorders>
              <w:top w:val="single" w:sz="4" w:space="0" w:color="auto"/>
              <w:left w:val="single" w:sz="4" w:space="0" w:color="auto"/>
              <w:bottom w:val="single" w:sz="4" w:space="0" w:color="auto"/>
              <w:right w:val="single" w:sz="4" w:space="0" w:color="auto"/>
            </w:tcBorders>
            <w:vAlign w:val="center"/>
          </w:tcPr>
          <w:p w14:paraId="7E5A5960" w14:textId="77777777" w:rsidR="003132CB" w:rsidRDefault="003132CB">
            <w:pPr>
              <w:jc w:val="center"/>
              <w:rPr>
                <w:rFonts w:cs="Arial"/>
                <w:szCs w:val="22"/>
              </w:rPr>
            </w:pPr>
          </w:p>
        </w:tc>
        <w:tc>
          <w:tcPr>
            <w:tcW w:w="2328" w:type="dxa"/>
            <w:tcBorders>
              <w:top w:val="single" w:sz="4" w:space="0" w:color="auto"/>
              <w:left w:val="single" w:sz="4" w:space="0" w:color="auto"/>
              <w:bottom w:val="single" w:sz="4" w:space="0" w:color="auto"/>
              <w:right w:val="single" w:sz="4" w:space="0" w:color="auto"/>
            </w:tcBorders>
            <w:vAlign w:val="center"/>
          </w:tcPr>
          <w:p w14:paraId="6B23A5CB" w14:textId="77777777" w:rsidR="003132CB" w:rsidRDefault="003132CB">
            <w:pPr>
              <w:jc w:val="center"/>
              <w:rPr>
                <w:rFonts w:cs="Arial"/>
                <w:szCs w:val="22"/>
              </w:rPr>
            </w:pPr>
          </w:p>
        </w:tc>
        <w:tc>
          <w:tcPr>
            <w:tcW w:w="2325" w:type="dxa"/>
            <w:tcBorders>
              <w:top w:val="single" w:sz="4" w:space="0" w:color="auto"/>
              <w:left w:val="single" w:sz="4" w:space="0" w:color="auto"/>
              <w:bottom w:val="single" w:sz="4" w:space="0" w:color="auto"/>
              <w:right w:val="single" w:sz="4" w:space="0" w:color="auto"/>
            </w:tcBorders>
            <w:vAlign w:val="center"/>
          </w:tcPr>
          <w:p w14:paraId="519C4891" w14:textId="77777777" w:rsidR="003132CB" w:rsidRDefault="003132CB">
            <w:pPr>
              <w:jc w:val="center"/>
              <w:rPr>
                <w:rFonts w:cs="Arial"/>
                <w:szCs w:val="22"/>
              </w:rPr>
            </w:pPr>
          </w:p>
        </w:tc>
      </w:tr>
      <w:tr w:rsidR="003132CB" w14:paraId="26CF4548" w14:textId="77777777" w:rsidTr="003132CB">
        <w:trPr>
          <w:cantSplit/>
        </w:trPr>
        <w:tc>
          <w:tcPr>
            <w:tcW w:w="2367" w:type="dxa"/>
            <w:tcBorders>
              <w:top w:val="single" w:sz="4" w:space="0" w:color="auto"/>
              <w:left w:val="single" w:sz="4" w:space="0" w:color="auto"/>
              <w:bottom w:val="single" w:sz="4" w:space="0" w:color="auto"/>
              <w:right w:val="single" w:sz="4" w:space="0" w:color="auto"/>
            </w:tcBorders>
            <w:vAlign w:val="center"/>
            <w:hideMark/>
          </w:tcPr>
          <w:p w14:paraId="47B84C47" w14:textId="77777777" w:rsidR="003132CB" w:rsidRDefault="003132CB">
            <w:pPr>
              <w:ind w:left="288"/>
              <w:rPr>
                <w:rFonts w:cs="Arial"/>
                <w:szCs w:val="22"/>
              </w:rPr>
            </w:pPr>
            <w:r>
              <w:rPr>
                <w:rFonts w:cs="Arial"/>
                <w:szCs w:val="22"/>
              </w:rPr>
              <w:t xml:space="preserve">Proportionate Share </w:t>
            </w:r>
          </w:p>
        </w:tc>
        <w:tc>
          <w:tcPr>
            <w:tcW w:w="2330" w:type="dxa"/>
            <w:tcBorders>
              <w:top w:val="single" w:sz="4" w:space="0" w:color="auto"/>
              <w:left w:val="single" w:sz="4" w:space="0" w:color="auto"/>
              <w:bottom w:val="single" w:sz="4" w:space="0" w:color="auto"/>
              <w:right w:val="single" w:sz="4" w:space="0" w:color="auto"/>
            </w:tcBorders>
            <w:vAlign w:val="center"/>
          </w:tcPr>
          <w:p w14:paraId="0453173D" w14:textId="77777777" w:rsidR="003132CB" w:rsidRDefault="003132CB">
            <w:pPr>
              <w:jc w:val="center"/>
              <w:rPr>
                <w:rFonts w:cs="Arial"/>
                <w:szCs w:val="22"/>
              </w:rPr>
            </w:pPr>
          </w:p>
        </w:tc>
        <w:tc>
          <w:tcPr>
            <w:tcW w:w="2328" w:type="dxa"/>
            <w:tcBorders>
              <w:top w:val="single" w:sz="4" w:space="0" w:color="auto"/>
              <w:left w:val="single" w:sz="4" w:space="0" w:color="auto"/>
              <w:bottom w:val="single" w:sz="4" w:space="0" w:color="auto"/>
              <w:right w:val="single" w:sz="4" w:space="0" w:color="auto"/>
            </w:tcBorders>
            <w:vAlign w:val="center"/>
          </w:tcPr>
          <w:p w14:paraId="02AF31AA" w14:textId="77777777" w:rsidR="003132CB" w:rsidRDefault="003132CB">
            <w:pPr>
              <w:jc w:val="center"/>
              <w:rPr>
                <w:rFonts w:cs="Arial"/>
                <w:szCs w:val="22"/>
              </w:rPr>
            </w:pPr>
          </w:p>
        </w:tc>
        <w:tc>
          <w:tcPr>
            <w:tcW w:w="2325" w:type="dxa"/>
            <w:tcBorders>
              <w:top w:val="single" w:sz="4" w:space="0" w:color="auto"/>
              <w:left w:val="single" w:sz="4" w:space="0" w:color="auto"/>
              <w:bottom w:val="single" w:sz="4" w:space="0" w:color="auto"/>
              <w:right w:val="single" w:sz="4" w:space="0" w:color="auto"/>
            </w:tcBorders>
            <w:vAlign w:val="center"/>
          </w:tcPr>
          <w:p w14:paraId="16110A92" w14:textId="77777777" w:rsidR="003132CB" w:rsidRDefault="003132CB">
            <w:pPr>
              <w:jc w:val="center"/>
              <w:rPr>
                <w:rFonts w:cs="Arial"/>
                <w:szCs w:val="22"/>
              </w:rPr>
            </w:pPr>
          </w:p>
        </w:tc>
      </w:tr>
    </w:tbl>
    <w:p w14:paraId="78A19526" w14:textId="77777777" w:rsidR="003132CB" w:rsidRDefault="003132CB" w:rsidP="003132CB"/>
    <w:p w14:paraId="47D5FCEE" w14:textId="6B63615A" w:rsidR="00C640C4" w:rsidRDefault="00C640C4" w:rsidP="00C640C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u w:val="single"/>
        </w:rPr>
      </w:pPr>
    </w:p>
    <w:bookmarkEnd w:id="2"/>
    <w:p w14:paraId="0CAE8A22" w14:textId="3F2A55D0" w:rsidR="004E39A3" w:rsidRDefault="004E39A3" w:rsidP="00B15626">
      <w:pPr>
        <w:pStyle w:val="Heading1"/>
      </w:pPr>
      <w:r>
        <w:br w:type="page"/>
      </w:r>
      <w:bookmarkEnd w:id="3"/>
    </w:p>
    <w:sectPr w:rsidR="004E39A3" w:rsidSect="00FA4A13">
      <w:foot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287BA" w14:textId="77777777" w:rsidR="001B7180" w:rsidRDefault="001B7180" w:rsidP="00061BC2">
      <w:r>
        <w:separator/>
      </w:r>
    </w:p>
  </w:endnote>
  <w:endnote w:type="continuationSeparator" w:id="0">
    <w:p w14:paraId="0CD55314" w14:textId="77777777" w:rsidR="001B7180" w:rsidRDefault="001B7180" w:rsidP="00061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pollo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utura Std Book">
    <w:altName w:val="Century Goth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7C6E5" w14:textId="556B4512" w:rsidR="004F565F" w:rsidRDefault="004F565F" w:rsidP="00E550C6">
    <w:pPr>
      <w:pStyle w:val="Footer"/>
      <w:tabs>
        <w:tab w:val="clear" w:pos="4680"/>
        <w:tab w:val="center" w:pos="720"/>
        <w:tab w:val="center" w:pos="2520"/>
        <w:tab w:val="center" w:pos="4320"/>
        <w:tab w:val="center" w:pos="6120"/>
        <w:tab w:val="center" w:pos="7560"/>
      </w:tabs>
      <w:rPr>
        <w:sz w:val="20"/>
        <w:u w:val="single"/>
      </w:rPr>
    </w:pPr>
    <w:r>
      <w:rPr>
        <w:sz w:val="20"/>
        <w:u w:val="single"/>
      </w:rPr>
      <w:t>Effective FY</w:t>
    </w:r>
    <w:r>
      <w:rPr>
        <w:sz w:val="20"/>
      </w:rPr>
      <w:tab/>
    </w:r>
    <w:r>
      <w:rPr>
        <w:sz w:val="20"/>
        <w:u w:val="single"/>
      </w:rPr>
      <w:t>Supersedes</w:t>
    </w:r>
    <w:r>
      <w:rPr>
        <w:sz w:val="20"/>
      </w:rPr>
      <w:tab/>
    </w:r>
    <w:r>
      <w:rPr>
        <w:sz w:val="20"/>
        <w:u w:val="single"/>
      </w:rPr>
      <w:t>Form</w:t>
    </w:r>
    <w:r>
      <w:rPr>
        <w:sz w:val="20"/>
      </w:rPr>
      <w:tab/>
    </w:r>
    <w:r>
      <w:rPr>
        <w:sz w:val="20"/>
        <w:u w:val="single"/>
      </w:rPr>
      <w:t>Chapter</w:t>
    </w:r>
    <w:r>
      <w:rPr>
        <w:sz w:val="20"/>
      </w:rPr>
      <w:tab/>
    </w:r>
    <w:r w:rsidRPr="00E550C6">
      <w:rPr>
        <w:sz w:val="20"/>
        <w:u w:val="single"/>
      </w:rPr>
      <w:t>Section</w:t>
    </w:r>
    <w:r>
      <w:rPr>
        <w:sz w:val="20"/>
      </w:rPr>
      <w:tab/>
    </w:r>
    <w:r>
      <w:rPr>
        <w:sz w:val="20"/>
        <w:u w:val="single"/>
      </w:rPr>
      <w:t>Page</w:t>
    </w:r>
  </w:p>
  <w:p w14:paraId="1E27C6E6" w14:textId="3C6E9126" w:rsidR="004F565F" w:rsidRPr="00E550C6" w:rsidRDefault="004F565F" w:rsidP="00E550C6">
    <w:pPr>
      <w:pStyle w:val="Footer"/>
      <w:tabs>
        <w:tab w:val="clear" w:pos="4680"/>
        <w:tab w:val="center" w:pos="720"/>
        <w:tab w:val="center" w:pos="2520"/>
        <w:tab w:val="center" w:pos="4320"/>
        <w:tab w:val="center" w:pos="6120"/>
        <w:tab w:val="center" w:pos="7560"/>
      </w:tabs>
      <w:rPr>
        <w:sz w:val="20"/>
      </w:rPr>
    </w:pPr>
    <w:r>
      <w:rPr>
        <w:sz w:val="20"/>
      </w:rPr>
      <w:t xml:space="preserve">FY </w:t>
    </w:r>
    <w:r w:rsidR="00BA4AAC">
      <w:rPr>
        <w:sz w:val="20"/>
      </w:rPr>
      <w:t>202</w:t>
    </w:r>
    <w:r w:rsidR="00DB1E10">
      <w:rPr>
        <w:sz w:val="20"/>
      </w:rPr>
      <w:t>6</w:t>
    </w:r>
    <w:r>
      <w:rPr>
        <w:sz w:val="20"/>
      </w:rPr>
      <w:tab/>
    </w:r>
    <w:r>
      <w:rPr>
        <w:sz w:val="20"/>
      </w:rPr>
      <w:tab/>
      <w:t xml:space="preserve">FY </w:t>
    </w:r>
    <w:r w:rsidR="00BA4AAC">
      <w:rPr>
        <w:sz w:val="20"/>
      </w:rPr>
      <w:t>202</w:t>
    </w:r>
    <w:r w:rsidR="00DB1E10">
      <w:rPr>
        <w:sz w:val="20"/>
      </w:rPr>
      <w:t>5</w:t>
    </w:r>
    <w:r>
      <w:rPr>
        <w:sz w:val="20"/>
      </w:rPr>
      <w:tab/>
    </w:r>
    <w:r>
      <w:rPr>
        <w:sz w:val="20"/>
      </w:rPr>
      <w:tab/>
      <w:t>F-196</w:t>
    </w:r>
    <w:r>
      <w:rPr>
        <w:sz w:val="20"/>
      </w:rPr>
      <w:tab/>
      <w:t>OCBOA (F-196)</w:t>
    </w:r>
    <w:r>
      <w:rPr>
        <w:sz w:val="20"/>
      </w:rPr>
      <w:tab/>
    </w:r>
    <w:r w:rsidRPr="00053531">
      <w:rPr>
        <w:sz w:val="20"/>
      </w:rPr>
      <w:fldChar w:fldCharType="begin"/>
    </w:r>
    <w:r w:rsidRPr="00053531">
      <w:rPr>
        <w:sz w:val="20"/>
      </w:rPr>
      <w:instrText xml:space="preserve"> PAGE   \* MERGEFORMAT </w:instrText>
    </w:r>
    <w:r w:rsidRPr="00053531">
      <w:rPr>
        <w:sz w:val="20"/>
      </w:rPr>
      <w:fldChar w:fldCharType="separate"/>
    </w:r>
    <w:r w:rsidR="00B95009">
      <w:rPr>
        <w:noProof/>
        <w:sz w:val="20"/>
      </w:rPr>
      <w:t>31</w:t>
    </w:r>
    <w:r w:rsidRPr="00053531">
      <w:rPr>
        <w:noProof/>
        <w:sz w:val="20"/>
      </w:rPr>
      <w:fldChar w:fldCharType="end"/>
    </w:r>
  </w:p>
  <w:p w14:paraId="1E27C6E7" w14:textId="77777777" w:rsidR="004F565F" w:rsidRPr="00E178B3" w:rsidRDefault="004F565F" w:rsidP="00E550C6">
    <w:pPr>
      <w:pStyle w:val="Footer"/>
      <w:tabs>
        <w:tab w:val="clear" w:pos="4680"/>
        <w:tab w:val="center" w:pos="720"/>
        <w:tab w:val="center" w:pos="2520"/>
        <w:tab w:val="center" w:pos="4320"/>
        <w:tab w:val="center" w:pos="6120"/>
        <w:tab w:val="center" w:pos="7560"/>
      </w:tabs>
      <w:rPr>
        <w:rFonts w:cs="Arial"/>
        <w:i/>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0AE2F" w14:textId="77777777" w:rsidR="001B7180" w:rsidRDefault="001B7180" w:rsidP="00061BC2">
      <w:r>
        <w:separator/>
      </w:r>
    </w:p>
  </w:footnote>
  <w:footnote w:type="continuationSeparator" w:id="0">
    <w:p w14:paraId="63ED38D1" w14:textId="77777777" w:rsidR="001B7180" w:rsidRDefault="001B7180" w:rsidP="00061B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93C36"/>
    <w:multiLevelType w:val="hybridMultilevel"/>
    <w:tmpl w:val="507E5878"/>
    <w:lvl w:ilvl="0" w:tplc="8E6EB8E2">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2343A"/>
    <w:multiLevelType w:val="hybridMultilevel"/>
    <w:tmpl w:val="755A673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5C180A"/>
    <w:multiLevelType w:val="multilevel"/>
    <w:tmpl w:val="150271B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160FF"/>
    <w:multiLevelType w:val="hybridMultilevel"/>
    <w:tmpl w:val="AC421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5D7B94"/>
    <w:multiLevelType w:val="hybridMultilevel"/>
    <w:tmpl w:val="50486A4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C32E50"/>
    <w:multiLevelType w:val="hybridMultilevel"/>
    <w:tmpl w:val="D7101C1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2433DB"/>
    <w:multiLevelType w:val="hybridMultilevel"/>
    <w:tmpl w:val="11D21CA0"/>
    <w:lvl w:ilvl="0" w:tplc="72B28046">
      <w:start w:val="1"/>
      <w:numFmt w:val="bullet"/>
      <w:lvlText w:val=""/>
      <w:lvlJc w:val="left"/>
      <w:pPr>
        <w:ind w:left="1080" w:hanging="360"/>
      </w:pPr>
      <w:rPr>
        <w:rFonts w:ascii="Symbol" w:hAnsi="Symbol"/>
      </w:rPr>
    </w:lvl>
    <w:lvl w:ilvl="1" w:tplc="92C65438">
      <w:start w:val="1"/>
      <w:numFmt w:val="bullet"/>
      <w:lvlText w:val=""/>
      <w:lvlJc w:val="left"/>
      <w:pPr>
        <w:ind w:left="1080" w:hanging="360"/>
      </w:pPr>
      <w:rPr>
        <w:rFonts w:ascii="Symbol" w:hAnsi="Symbol"/>
      </w:rPr>
    </w:lvl>
    <w:lvl w:ilvl="2" w:tplc="7772C8A8">
      <w:start w:val="1"/>
      <w:numFmt w:val="bullet"/>
      <w:lvlText w:val=""/>
      <w:lvlJc w:val="left"/>
      <w:pPr>
        <w:ind w:left="1080" w:hanging="360"/>
      </w:pPr>
      <w:rPr>
        <w:rFonts w:ascii="Symbol" w:hAnsi="Symbol"/>
      </w:rPr>
    </w:lvl>
    <w:lvl w:ilvl="3" w:tplc="4B4AC6EA">
      <w:start w:val="1"/>
      <w:numFmt w:val="bullet"/>
      <w:lvlText w:val=""/>
      <w:lvlJc w:val="left"/>
      <w:pPr>
        <w:ind w:left="1080" w:hanging="360"/>
      </w:pPr>
      <w:rPr>
        <w:rFonts w:ascii="Symbol" w:hAnsi="Symbol"/>
      </w:rPr>
    </w:lvl>
    <w:lvl w:ilvl="4" w:tplc="A18C29EA">
      <w:start w:val="1"/>
      <w:numFmt w:val="bullet"/>
      <w:lvlText w:val=""/>
      <w:lvlJc w:val="left"/>
      <w:pPr>
        <w:ind w:left="1080" w:hanging="360"/>
      </w:pPr>
      <w:rPr>
        <w:rFonts w:ascii="Symbol" w:hAnsi="Symbol"/>
      </w:rPr>
    </w:lvl>
    <w:lvl w:ilvl="5" w:tplc="665EA9B0">
      <w:start w:val="1"/>
      <w:numFmt w:val="bullet"/>
      <w:lvlText w:val=""/>
      <w:lvlJc w:val="left"/>
      <w:pPr>
        <w:ind w:left="1080" w:hanging="360"/>
      </w:pPr>
      <w:rPr>
        <w:rFonts w:ascii="Symbol" w:hAnsi="Symbol"/>
      </w:rPr>
    </w:lvl>
    <w:lvl w:ilvl="6" w:tplc="74265FC2">
      <w:start w:val="1"/>
      <w:numFmt w:val="bullet"/>
      <w:lvlText w:val=""/>
      <w:lvlJc w:val="left"/>
      <w:pPr>
        <w:ind w:left="1080" w:hanging="360"/>
      </w:pPr>
      <w:rPr>
        <w:rFonts w:ascii="Symbol" w:hAnsi="Symbol"/>
      </w:rPr>
    </w:lvl>
    <w:lvl w:ilvl="7" w:tplc="F962C23E">
      <w:start w:val="1"/>
      <w:numFmt w:val="bullet"/>
      <w:lvlText w:val=""/>
      <w:lvlJc w:val="left"/>
      <w:pPr>
        <w:ind w:left="1080" w:hanging="360"/>
      </w:pPr>
      <w:rPr>
        <w:rFonts w:ascii="Symbol" w:hAnsi="Symbol"/>
      </w:rPr>
    </w:lvl>
    <w:lvl w:ilvl="8" w:tplc="35F08466">
      <w:start w:val="1"/>
      <w:numFmt w:val="bullet"/>
      <w:lvlText w:val=""/>
      <w:lvlJc w:val="left"/>
      <w:pPr>
        <w:ind w:left="1080" w:hanging="360"/>
      </w:pPr>
      <w:rPr>
        <w:rFonts w:ascii="Symbol" w:hAnsi="Symbol"/>
      </w:rPr>
    </w:lvl>
  </w:abstractNum>
  <w:abstractNum w:abstractNumId="7" w15:restartNumberingAfterBreak="0">
    <w:nsid w:val="1C8725D6"/>
    <w:multiLevelType w:val="hybridMultilevel"/>
    <w:tmpl w:val="998C272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1D77632"/>
    <w:multiLevelType w:val="hybridMultilevel"/>
    <w:tmpl w:val="39B66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AA5697"/>
    <w:multiLevelType w:val="hybridMultilevel"/>
    <w:tmpl w:val="4A6A4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DA7499"/>
    <w:multiLevelType w:val="hybridMultilevel"/>
    <w:tmpl w:val="E6D04E2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CB0057F"/>
    <w:multiLevelType w:val="hybridMultilevel"/>
    <w:tmpl w:val="253CE87E"/>
    <w:lvl w:ilvl="0" w:tplc="FA0C4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850D0E"/>
    <w:multiLevelType w:val="hybridMultilevel"/>
    <w:tmpl w:val="1326EF70"/>
    <w:lvl w:ilvl="0" w:tplc="492ED4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C42FEF"/>
    <w:multiLevelType w:val="hybridMultilevel"/>
    <w:tmpl w:val="488C6F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38779D1"/>
    <w:multiLevelType w:val="hybridMultilevel"/>
    <w:tmpl w:val="AE2C6B60"/>
    <w:lvl w:ilvl="0" w:tplc="98EC0E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6C322D3"/>
    <w:multiLevelType w:val="hybridMultilevel"/>
    <w:tmpl w:val="4AEE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4C2791"/>
    <w:multiLevelType w:val="multilevel"/>
    <w:tmpl w:val="628A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BC32D9"/>
    <w:multiLevelType w:val="hybridMultilevel"/>
    <w:tmpl w:val="2B2828E6"/>
    <w:lvl w:ilvl="0" w:tplc="FA0C4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B869E9"/>
    <w:multiLevelType w:val="hybridMultilevel"/>
    <w:tmpl w:val="D8D4D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047DF4"/>
    <w:multiLevelType w:val="hybridMultilevel"/>
    <w:tmpl w:val="96F4A8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D9F301D"/>
    <w:multiLevelType w:val="hybridMultilevel"/>
    <w:tmpl w:val="EB723A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CE5324"/>
    <w:multiLevelType w:val="hybridMultilevel"/>
    <w:tmpl w:val="60D893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9253F2"/>
    <w:multiLevelType w:val="hybridMultilevel"/>
    <w:tmpl w:val="76BA575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0E5AF5"/>
    <w:multiLevelType w:val="hybridMultilevel"/>
    <w:tmpl w:val="ECC4AA5E"/>
    <w:lvl w:ilvl="0" w:tplc="8FFE9A82">
      <w:start w:val="1"/>
      <w:numFmt w:val="lowerLetter"/>
      <w:lvlText w:val="%1."/>
      <w:lvlJc w:val="left"/>
      <w:pPr>
        <w:ind w:left="9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922670D"/>
    <w:multiLevelType w:val="multilevel"/>
    <w:tmpl w:val="47E0B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A0337A"/>
    <w:multiLevelType w:val="multilevel"/>
    <w:tmpl w:val="FCF4D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B66B8D"/>
    <w:multiLevelType w:val="multilevel"/>
    <w:tmpl w:val="77FC8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A22EF1"/>
    <w:multiLevelType w:val="hybridMultilevel"/>
    <w:tmpl w:val="FBA46E4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E972EEA"/>
    <w:multiLevelType w:val="hybridMultilevel"/>
    <w:tmpl w:val="0B6CA8CE"/>
    <w:lvl w:ilvl="0" w:tplc="FA0C4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220F87"/>
    <w:multiLevelType w:val="hybridMultilevel"/>
    <w:tmpl w:val="E59074E4"/>
    <w:lvl w:ilvl="0" w:tplc="04090019">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314E57"/>
    <w:multiLevelType w:val="hybridMultilevel"/>
    <w:tmpl w:val="786C6A6C"/>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55363922"/>
    <w:multiLevelType w:val="hybridMultilevel"/>
    <w:tmpl w:val="ED3498A8"/>
    <w:lvl w:ilvl="0" w:tplc="DA7416EA">
      <w:start w:val="1"/>
      <w:numFmt w:val="decimal"/>
      <w:lvlText w:val="%1."/>
      <w:lvlJc w:val="left"/>
      <w:pPr>
        <w:ind w:left="463" w:hanging="360"/>
      </w:pPr>
      <w:rPr>
        <w:rFonts w:hint="default"/>
      </w:rPr>
    </w:lvl>
    <w:lvl w:ilvl="1" w:tplc="04090019">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32" w15:restartNumberingAfterBreak="0">
    <w:nsid w:val="5AF521C5"/>
    <w:multiLevelType w:val="hybridMultilevel"/>
    <w:tmpl w:val="6E8A0EF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FFB6E8D"/>
    <w:multiLevelType w:val="hybridMultilevel"/>
    <w:tmpl w:val="ED3498A8"/>
    <w:lvl w:ilvl="0" w:tplc="FFFFFFFF">
      <w:start w:val="1"/>
      <w:numFmt w:val="decimal"/>
      <w:lvlText w:val="%1."/>
      <w:lvlJc w:val="left"/>
      <w:pPr>
        <w:ind w:left="463" w:hanging="360"/>
      </w:pPr>
      <w:rPr>
        <w:rFonts w:hint="default"/>
      </w:rPr>
    </w:lvl>
    <w:lvl w:ilvl="1" w:tplc="FFFFFFFF">
      <w:start w:val="1"/>
      <w:numFmt w:val="lowerLetter"/>
      <w:lvlText w:val="%2."/>
      <w:lvlJc w:val="left"/>
      <w:pPr>
        <w:ind w:left="1183" w:hanging="360"/>
      </w:pPr>
    </w:lvl>
    <w:lvl w:ilvl="2" w:tplc="FFFFFFFF" w:tentative="1">
      <w:start w:val="1"/>
      <w:numFmt w:val="lowerRoman"/>
      <w:lvlText w:val="%3."/>
      <w:lvlJc w:val="right"/>
      <w:pPr>
        <w:ind w:left="1903" w:hanging="180"/>
      </w:pPr>
    </w:lvl>
    <w:lvl w:ilvl="3" w:tplc="FFFFFFFF" w:tentative="1">
      <w:start w:val="1"/>
      <w:numFmt w:val="decimal"/>
      <w:lvlText w:val="%4."/>
      <w:lvlJc w:val="left"/>
      <w:pPr>
        <w:ind w:left="2623" w:hanging="360"/>
      </w:pPr>
    </w:lvl>
    <w:lvl w:ilvl="4" w:tplc="FFFFFFFF" w:tentative="1">
      <w:start w:val="1"/>
      <w:numFmt w:val="lowerLetter"/>
      <w:lvlText w:val="%5."/>
      <w:lvlJc w:val="left"/>
      <w:pPr>
        <w:ind w:left="3343" w:hanging="360"/>
      </w:pPr>
    </w:lvl>
    <w:lvl w:ilvl="5" w:tplc="FFFFFFFF" w:tentative="1">
      <w:start w:val="1"/>
      <w:numFmt w:val="lowerRoman"/>
      <w:lvlText w:val="%6."/>
      <w:lvlJc w:val="right"/>
      <w:pPr>
        <w:ind w:left="4063" w:hanging="180"/>
      </w:pPr>
    </w:lvl>
    <w:lvl w:ilvl="6" w:tplc="FFFFFFFF" w:tentative="1">
      <w:start w:val="1"/>
      <w:numFmt w:val="decimal"/>
      <w:lvlText w:val="%7."/>
      <w:lvlJc w:val="left"/>
      <w:pPr>
        <w:ind w:left="4783" w:hanging="360"/>
      </w:pPr>
    </w:lvl>
    <w:lvl w:ilvl="7" w:tplc="FFFFFFFF" w:tentative="1">
      <w:start w:val="1"/>
      <w:numFmt w:val="lowerLetter"/>
      <w:lvlText w:val="%8."/>
      <w:lvlJc w:val="left"/>
      <w:pPr>
        <w:ind w:left="5503" w:hanging="360"/>
      </w:pPr>
    </w:lvl>
    <w:lvl w:ilvl="8" w:tplc="FFFFFFFF" w:tentative="1">
      <w:start w:val="1"/>
      <w:numFmt w:val="lowerRoman"/>
      <w:lvlText w:val="%9."/>
      <w:lvlJc w:val="right"/>
      <w:pPr>
        <w:ind w:left="6223" w:hanging="180"/>
      </w:pPr>
    </w:lvl>
  </w:abstractNum>
  <w:abstractNum w:abstractNumId="34" w15:restartNumberingAfterBreak="0">
    <w:nsid w:val="68722354"/>
    <w:multiLevelType w:val="hybridMultilevel"/>
    <w:tmpl w:val="D90AF54E"/>
    <w:lvl w:ilvl="0" w:tplc="18E435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CD6AA5"/>
    <w:multiLevelType w:val="hybridMultilevel"/>
    <w:tmpl w:val="04B2933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BFE4187"/>
    <w:multiLevelType w:val="hybridMultilevel"/>
    <w:tmpl w:val="37CE3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0456E9"/>
    <w:multiLevelType w:val="hybridMultilevel"/>
    <w:tmpl w:val="EE78F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7D773E"/>
    <w:multiLevelType w:val="multilevel"/>
    <w:tmpl w:val="8C7E4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18186B"/>
    <w:multiLevelType w:val="hybridMultilevel"/>
    <w:tmpl w:val="93DA838C"/>
    <w:lvl w:ilvl="0" w:tplc="0E2C075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8E68EB"/>
    <w:multiLevelType w:val="hybridMultilevel"/>
    <w:tmpl w:val="74E84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486C7C"/>
    <w:multiLevelType w:val="hybridMultilevel"/>
    <w:tmpl w:val="823224BC"/>
    <w:lvl w:ilvl="0" w:tplc="A79EDA8A">
      <w:start w:val="1"/>
      <w:numFmt w:val="decimal"/>
      <w:lvlText w:val="%1."/>
      <w:lvlJc w:val="left"/>
      <w:pPr>
        <w:ind w:left="720" w:hanging="360"/>
      </w:pPr>
      <w:rPr>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235FE2"/>
    <w:multiLevelType w:val="hybridMultilevel"/>
    <w:tmpl w:val="767E35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203509"/>
    <w:multiLevelType w:val="multilevel"/>
    <w:tmpl w:val="C4E8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7C134D"/>
    <w:multiLevelType w:val="hybridMultilevel"/>
    <w:tmpl w:val="6A8E4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7023597">
    <w:abstractNumId w:val="11"/>
  </w:num>
  <w:num w:numId="2" w16cid:durableId="1854371910">
    <w:abstractNumId w:val="36"/>
  </w:num>
  <w:num w:numId="3" w16cid:durableId="361784122">
    <w:abstractNumId w:val="41"/>
  </w:num>
  <w:num w:numId="4" w16cid:durableId="441194086">
    <w:abstractNumId w:val="22"/>
  </w:num>
  <w:num w:numId="5" w16cid:durableId="813259611">
    <w:abstractNumId w:val="44"/>
  </w:num>
  <w:num w:numId="6" w16cid:durableId="1754085396">
    <w:abstractNumId w:val="40"/>
  </w:num>
  <w:num w:numId="7" w16cid:durableId="1069621849">
    <w:abstractNumId w:val="18"/>
  </w:num>
  <w:num w:numId="8" w16cid:durableId="1500119918">
    <w:abstractNumId w:val="42"/>
  </w:num>
  <w:num w:numId="9" w16cid:durableId="1474639102">
    <w:abstractNumId w:val="15"/>
  </w:num>
  <w:num w:numId="10" w16cid:durableId="506331689">
    <w:abstractNumId w:val="29"/>
  </w:num>
  <w:num w:numId="11" w16cid:durableId="204871855">
    <w:abstractNumId w:val="12"/>
  </w:num>
  <w:num w:numId="12" w16cid:durableId="1728185607">
    <w:abstractNumId w:val="23"/>
  </w:num>
  <w:num w:numId="13" w16cid:durableId="1677801926">
    <w:abstractNumId w:val="37"/>
  </w:num>
  <w:num w:numId="14" w16cid:durableId="1566646933">
    <w:abstractNumId w:val="21"/>
  </w:num>
  <w:num w:numId="15" w16cid:durableId="1009479290">
    <w:abstractNumId w:val="20"/>
  </w:num>
  <w:num w:numId="16" w16cid:durableId="1378899187">
    <w:abstractNumId w:val="31"/>
  </w:num>
  <w:num w:numId="17" w16cid:durableId="709957389">
    <w:abstractNumId w:val="33"/>
  </w:num>
  <w:num w:numId="18" w16cid:durableId="1296596910">
    <w:abstractNumId w:val="3"/>
  </w:num>
  <w:num w:numId="19" w16cid:durableId="285548981">
    <w:abstractNumId w:val="24"/>
  </w:num>
  <w:num w:numId="20" w16cid:durableId="1477378419">
    <w:abstractNumId w:val="36"/>
  </w:num>
  <w:num w:numId="21" w16cid:durableId="1971862994">
    <w:abstractNumId w:val="25"/>
  </w:num>
  <w:num w:numId="22" w16cid:durableId="1837530983">
    <w:abstractNumId w:val="26"/>
  </w:num>
  <w:num w:numId="23" w16cid:durableId="1982927233">
    <w:abstractNumId w:val="43"/>
  </w:num>
  <w:num w:numId="24" w16cid:durableId="1053502727">
    <w:abstractNumId w:val="16"/>
  </w:num>
  <w:num w:numId="25" w16cid:durableId="558976965">
    <w:abstractNumId w:val="2"/>
  </w:num>
  <w:num w:numId="26" w16cid:durableId="1194617089">
    <w:abstractNumId w:val="38"/>
  </w:num>
  <w:num w:numId="27" w16cid:durableId="1572884853">
    <w:abstractNumId w:val="13"/>
  </w:num>
  <w:num w:numId="28" w16cid:durableId="706101159">
    <w:abstractNumId w:val="8"/>
  </w:num>
  <w:num w:numId="29" w16cid:durableId="1733038262">
    <w:abstractNumId w:val="0"/>
  </w:num>
  <w:num w:numId="30" w16cid:durableId="1281960787">
    <w:abstractNumId w:val="1"/>
  </w:num>
  <w:num w:numId="31" w16cid:durableId="273825837">
    <w:abstractNumId w:val="28"/>
  </w:num>
  <w:num w:numId="32" w16cid:durableId="270668250">
    <w:abstractNumId w:val="17"/>
  </w:num>
  <w:num w:numId="33" w16cid:durableId="1535382038">
    <w:abstractNumId w:val="7"/>
  </w:num>
  <w:num w:numId="34" w16cid:durableId="543370020">
    <w:abstractNumId w:val="14"/>
  </w:num>
  <w:num w:numId="35" w16cid:durableId="602346133">
    <w:abstractNumId w:val="5"/>
  </w:num>
  <w:num w:numId="36" w16cid:durableId="1016689703">
    <w:abstractNumId w:val="27"/>
  </w:num>
  <w:num w:numId="37" w16cid:durableId="354574600">
    <w:abstractNumId w:val="10"/>
  </w:num>
  <w:num w:numId="38" w16cid:durableId="668751533">
    <w:abstractNumId w:val="35"/>
  </w:num>
  <w:num w:numId="39" w16cid:durableId="166406929">
    <w:abstractNumId w:val="32"/>
  </w:num>
  <w:num w:numId="40" w16cid:durableId="364643078">
    <w:abstractNumId w:val="30"/>
  </w:num>
  <w:num w:numId="41" w16cid:durableId="1906253976">
    <w:abstractNumId w:val="4"/>
  </w:num>
  <w:num w:numId="42" w16cid:durableId="1056004197">
    <w:abstractNumId w:val="39"/>
  </w:num>
  <w:num w:numId="43" w16cid:durableId="1381318015">
    <w:abstractNumId w:val="34"/>
  </w:num>
  <w:num w:numId="44" w16cid:durableId="1518740098">
    <w:abstractNumId w:val="6"/>
  </w:num>
  <w:num w:numId="45" w16cid:durableId="1843201534">
    <w:abstractNumId w:val="9"/>
  </w:num>
  <w:num w:numId="46" w16cid:durableId="504397713">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9C0"/>
    <w:rsid w:val="000005D8"/>
    <w:rsid w:val="00000C31"/>
    <w:rsid w:val="00001F33"/>
    <w:rsid w:val="00002E0B"/>
    <w:rsid w:val="00002FE4"/>
    <w:rsid w:val="00004DE7"/>
    <w:rsid w:val="00004E66"/>
    <w:rsid w:val="00005093"/>
    <w:rsid w:val="000058D2"/>
    <w:rsid w:val="00005DF0"/>
    <w:rsid w:val="00007D36"/>
    <w:rsid w:val="00010A19"/>
    <w:rsid w:val="00011594"/>
    <w:rsid w:val="00011A0F"/>
    <w:rsid w:val="00012144"/>
    <w:rsid w:val="00012BCC"/>
    <w:rsid w:val="00015B3A"/>
    <w:rsid w:val="000160AB"/>
    <w:rsid w:val="00017415"/>
    <w:rsid w:val="00017C19"/>
    <w:rsid w:val="000203FE"/>
    <w:rsid w:val="00020913"/>
    <w:rsid w:val="00021B4D"/>
    <w:rsid w:val="000231FC"/>
    <w:rsid w:val="00023B98"/>
    <w:rsid w:val="00023DB7"/>
    <w:rsid w:val="00024342"/>
    <w:rsid w:val="0002752D"/>
    <w:rsid w:val="000305B3"/>
    <w:rsid w:val="000329BC"/>
    <w:rsid w:val="000331EB"/>
    <w:rsid w:val="000350BC"/>
    <w:rsid w:val="000365AB"/>
    <w:rsid w:val="000366D9"/>
    <w:rsid w:val="00037766"/>
    <w:rsid w:val="00037832"/>
    <w:rsid w:val="0004211F"/>
    <w:rsid w:val="00045C97"/>
    <w:rsid w:val="000474AF"/>
    <w:rsid w:val="000509E3"/>
    <w:rsid w:val="000524C8"/>
    <w:rsid w:val="000527CA"/>
    <w:rsid w:val="00053238"/>
    <w:rsid w:val="00053531"/>
    <w:rsid w:val="00054F90"/>
    <w:rsid w:val="000553FC"/>
    <w:rsid w:val="00055840"/>
    <w:rsid w:val="00056C1B"/>
    <w:rsid w:val="0006082E"/>
    <w:rsid w:val="00061BC2"/>
    <w:rsid w:val="000645C5"/>
    <w:rsid w:val="0006576A"/>
    <w:rsid w:val="00071243"/>
    <w:rsid w:val="00072163"/>
    <w:rsid w:val="0007392C"/>
    <w:rsid w:val="00075B3D"/>
    <w:rsid w:val="00075E40"/>
    <w:rsid w:val="000814B7"/>
    <w:rsid w:val="00081CEE"/>
    <w:rsid w:val="000860ED"/>
    <w:rsid w:val="0009403B"/>
    <w:rsid w:val="0009742B"/>
    <w:rsid w:val="00097668"/>
    <w:rsid w:val="00097728"/>
    <w:rsid w:val="00097C3B"/>
    <w:rsid w:val="000A33E1"/>
    <w:rsid w:val="000A3AC7"/>
    <w:rsid w:val="000A3C88"/>
    <w:rsid w:val="000A6BA7"/>
    <w:rsid w:val="000A6DFC"/>
    <w:rsid w:val="000B21E8"/>
    <w:rsid w:val="000B4C3C"/>
    <w:rsid w:val="000B6181"/>
    <w:rsid w:val="000C0109"/>
    <w:rsid w:val="000C0320"/>
    <w:rsid w:val="000C2320"/>
    <w:rsid w:val="000C3F57"/>
    <w:rsid w:val="000C46CF"/>
    <w:rsid w:val="000C4828"/>
    <w:rsid w:val="000C57B8"/>
    <w:rsid w:val="000C62D9"/>
    <w:rsid w:val="000C657E"/>
    <w:rsid w:val="000D017C"/>
    <w:rsid w:val="000D03B6"/>
    <w:rsid w:val="000D0CE9"/>
    <w:rsid w:val="000D1022"/>
    <w:rsid w:val="000D794B"/>
    <w:rsid w:val="000E1715"/>
    <w:rsid w:val="000E1975"/>
    <w:rsid w:val="000E3191"/>
    <w:rsid w:val="000E376C"/>
    <w:rsid w:val="000E5C80"/>
    <w:rsid w:val="000E6308"/>
    <w:rsid w:val="000E743B"/>
    <w:rsid w:val="000E7DD0"/>
    <w:rsid w:val="000F0DBB"/>
    <w:rsid w:val="000F1F4E"/>
    <w:rsid w:val="000F208E"/>
    <w:rsid w:val="000F2714"/>
    <w:rsid w:val="000F60E9"/>
    <w:rsid w:val="000F718A"/>
    <w:rsid w:val="000F7B7F"/>
    <w:rsid w:val="000F7E94"/>
    <w:rsid w:val="00100385"/>
    <w:rsid w:val="00100B18"/>
    <w:rsid w:val="00100E50"/>
    <w:rsid w:val="00103CBA"/>
    <w:rsid w:val="001043F2"/>
    <w:rsid w:val="00112AC8"/>
    <w:rsid w:val="00112E5C"/>
    <w:rsid w:val="00115F71"/>
    <w:rsid w:val="0011628D"/>
    <w:rsid w:val="001205E4"/>
    <w:rsid w:val="0012182B"/>
    <w:rsid w:val="00123FC9"/>
    <w:rsid w:val="00125CBA"/>
    <w:rsid w:val="00125DAF"/>
    <w:rsid w:val="001265D5"/>
    <w:rsid w:val="0012690C"/>
    <w:rsid w:val="0013116C"/>
    <w:rsid w:val="001321A0"/>
    <w:rsid w:val="0013276B"/>
    <w:rsid w:val="001338C1"/>
    <w:rsid w:val="00134C82"/>
    <w:rsid w:val="00136B0C"/>
    <w:rsid w:val="001372F5"/>
    <w:rsid w:val="00137ACD"/>
    <w:rsid w:val="00137DA0"/>
    <w:rsid w:val="00140210"/>
    <w:rsid w:val="00140A52"/>
    <w:rsid w:val="00141A72"/>
    <w:rsid w:val="0014203A"/>
    <w:rsid w:val="00142C1F"/>
    <w:rsid w:val="00143268"/>
    <w:rsid w:val="00144B9C"/>
    <w:rsid w:val="00145C57"/>
    <w:rsid w:val="0015104F"/>
    <w:rsid w:val="00151A74"/>
    <w:rsid w:val="00152A4C"/>
    <w:rsid w:val="00152A6E"/>
    <w:rsid w:val="0015376A"/>
    <w:rsid w:val="00153F7A"/>
    <w:rsid w:val="00154A67"/>
    <w:rsid w:val="00156D23"/>
    <w:rsid w:val="00156E7A"/>
    <w:rsid w:val="0016021B"/>
    <w:rsid w:val="00161728"/>
    <w:rsid w:val="00161F28"/>
    <w:rsid w:val="0016218B"/>
    <w:rsid w:val="00163848"/>
    <w:rsid w:val="0016430F"/>
    <w:rsid w:val="001647F0"/>
    <w:rsid w:val="001652B6"/>
    <w:rsid w:val="00166963"/>
    <w:rsid w:val="00166C8F"/>
    <w:rsid w:val="00167540"/>
    <w:rsid w:val="00167EB2"/>
    <w:rsid w:val="00170384"/>
    <w:rsid w:val="00170823"/>
    <w:rsid w:val="001720D9"/>
    <w:rsid w:val="00173FA7"/>
    <w:rsid w:val="00174707"/>
    <w:rsid w:val="00174FFE"/>
    <w:rsid w:val="001756D0"/>
    <w:rsid w:val="00176361"/>
    <w:rsid w:val="00176A6F"/>
    <w:rsid w:val="00176B50"/>
    <w:rsid w:val="00177CF9"/>
    <w:rsid w:val="001838FA"/>
    <w:rsid w:val="0018462D"/>
    <w:rsid w:val="001870B5"/>
    <w:rsid w:val="0019301D"/>
    <w:rsid w:val="001939B5"/>
    <w:rsid w:val="001A021D"/>
    <w:rsid w:val="001A0AC4"/>
    <w:rsid w:val="001A1326"/>
    <w:rsid w:val="001A21C4"/>
    <w:rsid w:val="001A307C"/>
    <w:rsid w:val="001A3E28"/>
    <w:rsid w:val="001A4604"/>
    <w:rsid w:val="001A5421"/>
    <w:rsid w:val="001A6561"/>
    <w:rsid w:val="001A72EF"/>
    <w:rsid w:val="001A74AF"/>
    <w:rsid w:val="001B0028"/>
    <w:rsid w:val="001B0AAC"/>
    <w:rsid w:val="001B24D1"/>
    <w:rsid w:val="001B31A4"/>
    <w:rsid w:val="001B4C7A"/>
    <w:rsid w:val="001B5F7E"/>
    <w:rsid w:val="001B7180"/>
    <w:rsid w:val="001C1653"/>
    <w:rsid w:val="001C19A5"/>
    <w:rsid w:val="001C3E93"/>
    <w:rsid w:val="001C4FCB"/>
    <w:rsid w:val="001C50CC"/>
    <w:rsid w:val="001C6731"/>
    <w:rsid w:val="001D25BF"/>
    <w:rsid w:val="001D476A"/>
    <w:rsid w:val="001D49FC"/>
    <w:rsid w:val="001D4A3F"/>
    <w:rsid w:val="001D66B2"/>
    <w:rsid w:val="001D66ED"/>
    <w:rsid w:val="001D7123"/>
    <w:rsid w:val="001D7457"/>
    <w:rsid w:val="001D77C6"/>
    <w:rsid w:val="001E2C14"/>
    <w:rsid w:val="001E4A76"/>
    <w:rsid w:val="001E6E7A"/>
    <w:rsid w:val="001F0584"/>
    <w:rsid w:val="001F0B29"/>
    <w:rsid w:val="001F0E82"/>
    <w:rsid w:val="001F3CA0"/>
    <w:rsid w:val="001F3E57"/>
    <w:rsid w:val="001F543F"/>
    <w:rsid w:val="00200BEC"/>
    <w:rsid w:val="00201BA2"/>
    <w:rsid w:val="002022E8"/>
    <w:rsid w:val="00202314"/>
    <w:rsid w:val="00204B1F"/>
    <w:rsid w:val="00205698"/>
    <w:rsid w:val="00205995"/>
    <w:rsid w:val="00207602"/>
    <w:rsid w:val="002077A2"/>
    <w:rsid w:val="002109C7"/>
    <w:rsid w:val="002119DB"/>
    <w:rsid w:val="00211F6A"/>
    <w:rsid w:val="002142AD"/>
    <w:rsid w:val="00214536"/>
    <w:rsid w:val="00215AD8"/>
    <w:rsid w:val="00215FBF"/>
    <w:rsid w:val="00216091"/>
    <w:rsid w:val="0021669F"/>
    <w:rsid w:val="00217B2D"/>
    <w:rsid w:val="00220E81"/>
    <w:rsid w:val="002211F7"/>
    <w:rsid w:val="002212E8"/>
    <w:rsid w:val="002220F6"/>
    <w:rsid w:val="00223E72"/>
    <w:rsid w:val="00224404"/>
    <w:rsid w:val="0022629B"/>
    <w:rsid w:val="002277B9"/>
    <w:rsid w:val="00227D66"/>
    <w:rsid w:val="00230B60"/>
    <w:rsid w:val="00231D88"/>
    <w:rsid w:val="002337ED"/>
    <w:rsid w:val="0023459A"/>
    <w:rsid w:val="002345CD"/>
    <w:rsid w:val="00235C33"/>
    <w:rsid w:val="00236A18"/>
    <w:rsid w:val="00236BF9"/>
    <w:rsid w:val="00237351"/>
    <w:rsid w:val="00237A35"/>
    <w:rsid w:val="00241BC1"/>
    <w:rsid w:val="00242569"/>
    <w:rsid w:val="00243363"/>
    <w:rsid w:val="0024598D"/>
    <w:rsid w:val="00245B49"/>
    <w:rsid w:val="0024627C"/>
    <w:rsid w:val="002463A2"/>
    <w:rsid w:val="00246B3D"/>
    <w:rsid w:val="00251B8B"/>
    <w:rsid w:val="0025315A"/>
    <w:rsid w:val="00253C4A"/>
    <w:rsid w:val="0025511F"/>
    <w:rsid w:val="0026100E"/>
    <w:rsid w:val="002626AE"/>
    <w:rsid w:val="00263454"/>
    <w:rsid w:val="00264433"/>
    <w:rsid w:val="002644FA"/>
    <w:rsid w:val="00265AA4"/>
    <w:rsid w:val="00266359"/>
    <w:rsid w:val="002664D7"/>
    <w:rsid w:val="0027058E"/>
    <w:rsid w:val="00271355"/>
    <w:rsid w:val="002732CC"/>
    <w:rsid w:val="002744D8"/>
    <w:rsid w:val="00280E51"/>
    <w:rsid w:val="002822DA"/>
    <w:rsid w:val="00283A25"/>
    <w:rsid w:val="00283E32"/>
    <w:rsid w:val="002849FD"/>
    <w:rsid w:val="0028634B"/>
    <w:rsid w:val="00286418"/>
    <w:rsid w:val="00287690"/>
    <w:rsid w:val="00290BCE"/>
    <w:rsid w:val="00291C45"/>
    <w:rsid w:val="00292737"/>
    <w:rsid w:val="0029484D"/>
    <w:rsid w:val="00294DFC"/>
    <w:rsid w:val="0029618F"/>
    <w:rsid w:val="00296328"/>
    <w:rsid w:val="002A2D55"/>
    <w:rsid w:val="002A35C4"/>
    <w:rsid w:val="002A3679"/>
    <w:rsid w:val="002A425E"/>
    <w:rsid w:val="002A794F"/>
    <w:rsid w:val="002A79CD"/>
    <w:rsid w:val="002A79CE"/>
    <w:rsid w:val="002B1FC9"/>
    <w:rsid w:val="002B2289"/>
    <w:rsid w:val="002B3C04"/>
    <w:rsid w:val="002B5192"/>
    <w:rsid w:val="002B7595"/>
    <w:rsid w:val="002C0164"/>
    <w:rsid w:val="002C276C"/>
    <w:rsid w:val="002C2E1A"/>
    <w:rsid w:val="002C47E5"/>
    <w:rsid w:val="002C51E1"/>
    <w:rsid w:val="002C6742"/>
    <w:rsid w:val="002C6805"/>
    <w:rsid w:val="002C7BDA"/>
    <w:rsid w:val="002D11EC"/>
    <w:rsid w:val="002D2744"/>
    <w:rsid w:val="002D3023"/>
    <w:rsid w:val="002D3370"/>
    <w:rsid w:val="002D58B8"/>
    <w:rsid w:val="002E0DCC"/>
    <w:rsid w:val="002E0EA2"/>
    <w:rsid w:val="002E1085"/>
    <w:rsid w:val="002E10E9"/>
    <w:rsid w:val="002E2CD0"/>
    <w:rsid w:val="002E36EF"/>
    <w:rsid w:val="002E3B07"/>
    <w:rsid w:val="002E4155"/>
    <w:rsid w:val="002E42F7"/>
    <w:rsid w:val="002E5699"/>
    <w:rsid w:val="002E7018"/>
    <w:rsid w:val="002E7D74"/>
    <w:rsid w:val="002F014F"/>
    <w:rsid w:val="002F0678"/>
    <w:rsid w:val="002F0FBD"/>
    <w:rsid w:val="002F158E"/>
    <w:rsid w:val="002F38C6"/>
    <w:rsid w:val="002F3FAC"/>
    <w:rsid w:val="002F5D90"/>
    <w:rsid w:val="002F6480"/>
    <w:rsid w:val="00301E04"/>
    <w:rsid w:val="0030203E"/>
    <w:rsid w:val="00304929"/>
    <w:rsid w:val="003050C5"/>
    <w:rsid w:val="00305634"/>
    <w:rsid w:val="00307A26"/>
    <w:rsid w:val="0031155C"/>
    <w:rsid w:val="003116C5"/>
    <w:rsid w:val="00312917"/>
    <w:rsid w:val="003132CB"/>
    <w:rsid w:val="00313410"/>
    <w:rsid w:val="003134C5"/>
    <w:rsid w:val="00313C4C"/>
    <w:rsid w:val="00314339"/>
    <w:rsid w:val="00314607"/>
    <w:rsid w:val="003155AE"/>
    <w:rsid w:val="003165FE"/>
    <w:rsid w:val="00316B58"/>
    <w:rsid w:val="00316B6A"/>
    <w:rsid w:val="003202B7"/>
    <w:rsid w:val="003205EB"/>
    <w:rsid w:val="00321306"/>
    <w:rsid w:val="003221F0"/>
    <w:rsid w:val="0032399D"/>
    <w:rsid w:val="00324C2C"/>
    <w:rsid w:val="003262D3"/>
    <w:rsid w:val="0032686E"/>
    <w:rsid w:val="00330348"/>
    <w:rsid w:val="0033058B"/>
    <w:rsid w:val="00330A63"/>
    <w:rsid w:val="00331DB6"/>
    <w:rsid w:val="003324DC"/>
    <w:rsid w:val="003326F0"/>
    <w:rsid w:val="00332B13"/>
    <w:rsid w:val="00333256"/>
    <w:rsid w:val="0033325D"/>
    <w:rsid w:val="00333668"/>
    <w:rsid w:val="00335AC9"/>
    <w:rsid w:val="00336514"/>
    <w:rsid w:val="0033687B"/>
    <w:rsid w:val="003370B7"/>
    <w:rsid w:val="00337A0E"/>
    <w:rsid w:val="00337D44"/>
    <w:rsid w:val="00340146"/>
    <w:rsid w:val="0034198C"/>
    <w:rsid w:val="003434B2"/>
    <w:rsid w:val="003441D8"/>
    <w:rsid w:val="00345291"/>
    <w:rsid w:val="00345B7C"/>
    <w:rsid w:val="00345C13"/>
    <w:rsid w:val="00345CF3"/>
    <w:rsid w:val="00346D9C"/>
    <w:rsid w:val="00350140"/>
    <w:rsid w:val="0035027C"/>
    <w:rsid w:val="00350F5F"/>
    <w:rsid w:val="00353259"/>
    <w:rsid w:val="003558E4"/>
    <w:rsid w:val="00355924"/>
    <w:rsid w:val="00356358"/>
    <w:rsid w:val="00357463"/>
    <w:rsid w:val="003604F0"/>
    <w:rsid w:val="0036068C"/>
    <w:rsid w:val="00360D1B"/>
    <w:rsid w:val="0036134D"/>
    <w:rsid w:val="00361599"/>
    <w:rsid w:val="00361A26"/>
    <w:rsid w:val="00363889"/>
    <w:rsid w:val="003645D9"/>
    <w:rsid w:val="00364D2C"/>
    <w:rsid w:val="00367109"/>
    <w:rsid w:val="0036747A"/>
    <w:rsid w:val="003710BA"/>
    <w:rsid w:val="003721A1"/>
    <w:rsid w:val="00372812"/>
    <w:rsid w:val="00373661"/>
    <w:rsid w:val="003736A0"/>
    <w:rsid w:val="003766A0"/>
    <w:rsid w:val="00376D3F"/>
    <w:rsid w:val="0038023A"/>
    <w:rsid w:val="0038077A"/>
    <w:rsid w:val="00381219"/>
    <w:rsid w:val="00381E31"/>
    <w:rsid w:val="003824EE"/>
    <w:rsid w:val="00382BEB"/>
    <w:rsid w:val="003845D2"/>
    <w:rsid w:val="00384CA2"/>
    <w:rsid w:val="00385520"/>
    <w:rsid w:val="0039617E"/>
    <w:rsid w:val="0039780F"/>
    <w:rsid w:val="003A18C9"/>
    <w:rsid w:val="003A1C9E"/>
    <w:rsid w:val="003A2689"/>
    <w:rsid w:val="003A28DB"/>
    <w:rsid w:val="003A3CA8"/>
    <w:rsid w:val="003A6130"/>
    <w:rsid w:val="003A7A86"/>
    <w:rsid w:val="003B0311"/>
    <w:rsid w:val="003B067B"/>
    <w:rsid w:val="003B26A5"/>
    <w:rsid w:val="003B3961"/>
    <w:rsid w:val="003B6F0B"/>
    <w:rsid w:val="003C0963"/>
    <w:rsid w:val="003C0DA2"/>
    <w:rsid w:val="003C126B"/>
    <w:rsid w:val="003C12E4"/>
    <w:rsid w:val="003C2423"/>
    <w:rsid w:val="003C29A0"/>
    <w:rsid w:val="003C4740"/>
    <w:rsid w:val="003C5BE6"/>
    <w:rsid w:val="003C5C6C"/>
    <w:rsid w:val="003C6E91"/>
    <w:rsid w:val="003C6F9E"/>
    <w:rsid w:val="003D128B"/>
    <w:rsid w:val="003D1551"/>
    <w:rsid w:val="003D16A1"/>
    <w:rsid w:val="003D271F"/>
    <w:rsid w:val="003D2724"/>
    <w:rsid w:val="003D27A4"/>
    <w:rsid w:val="003D3DDA"/>
    <w:rsid w:val="003D3DF9"/>
    <w:rsid w:val="003D61BE"/>
    <w:rsid w:val="003D7946"/>
    <w:rsid w:val="003E0D27"/>
    <w:rsid w:val="003E31B9"/>
    <w:rsid w:val="003E586F"/>
    <w:rsid w:val="003E738C"/>
    <w:rsid w:val="003E76FD"/>
    <w:rsid w:val="003F12BF"/>
    <w:rsid w:val="003F1447"/>
    <w:rsid w:val="003F2013"/>
    <w:rsid w:val="003F3B74"/>
    <w:rsid w:val="003F50EC"/>
    <w:rsid w:val="003F5A8A"/>
    <w:rsid w:val="003F664F"/>
    <w:rsid w:val="003F74EC"/>
    <w:rsid w:val="00400C9E"/>
    <w:rsid w:val="0040144E"/>
    <w:rsid w:val="0040177E"/>
    <w:rsid w:val="00402623"/>
    <w:rsid w:val="00402B09"/>
    <w:rsid w:val="0040316A"/>
    <w:rsid w:val="0040381D"/>
    <w:rsid w:val="004056DB"/>
    <w:rsid w:val="00405781"/>
    <w:rsid w:val="00405885"/>
    <w:rsid w:val="00407198"/>
    <w:rsid w:val="00407202"/>
    <w:rsid w:val="00407A0D"/>
    <w:rsid w:val="00407C90"/>
    <w:rsid w:val="00410012"/>
    <w:rsid w:val="004110B9"/>
    <w:rsid w:val="004125E9"/>
    <w:rsid w:val="0041487D"/>
    <w:rsid w:val="0041510B"/>
    <w:rsid w:val="00417750"/>
    <w:rsid w:val="00420C7D"/>
    <w:rsid w:val="00424310"/>
    <w:rsid w:val="00424334"/>
    <w:rsid w:val="00424B37"/>
    <w:rsid w:val="00425027"/>
    <w:rsid w:val="00425203"/>
    <w:rsid w:val="00425368"/>
    <w:rsid w:val="00425B9D"/>
    <w:rsid w:val="0042776B"/>
    <w:rsid w:val="0043188D"/>
    <w:rsid w:val="0043234D"/>
    <w:rsid w:val="00432606"/>
    <w:rsid w:val="004332BB"/>
    <w:rsid w:val="0043339D"/>
    <w:rsid w:val="00433CE5"/>
    <w:rsid w:val="00435BC5"/>
    <w:rsid w:val="0043627D"/>
    <w:rsid w:val="004368D4"/>
    <w:rsid w:val="0043747C"/>
    <w:rsid w:val="00441365"/>
    <w:rsid w:val="00442EA8"/>
    <w:rsid w:val="00443D90"/>
    <w:rsid w:val="0044419F"/>
    <w:rsid w:val="0044509F"/>
    <w:rsid w:val="00445B43"/>
    <w:rsid w:val="00447484"/>
    <w:rsid w:val="00447B12"/>
    <w:rsid w:val="00447C65"/>
    <w:rsid w:val="00447D7C"/>
    <w:rsid w:val="00451B56"/>
    <w:rsid w:val="00451E3F"/>
    <w:rsid w:val="004528B1"/>
    <w:rsid w:val="00452F48"/>
    <w:rsid w:val="0045301C"/>
    <w:rsid w:val="00453603"/>
    <w:rsid w:val="004563E7"/>
    <w:rsid w:val="004564A4"/>
    <w:rsid w:val="00457389"/>
    <w:rsid w:val="00461524"/>
    <w:rsid w:val="0046164D"/>
    <w:rsid w:val="00463398"/>
    <w:rsid w:val="004649D6"/>
    <w:rsid w:val="00464A26"/>
    <w:rsid w:val="00465E6B"/>
    <w:rsid w:val="004664C3"/>
    <w:rsid w:val="004665A1"/>
    <w:rsid w:val="00470131"/>
    <w:rsid w:val="00471257"/>
    <w:rsid w:val="0047140B"/>
    <w:rsid w:val="00474513"/>
    <w:rsid w:val="00475E02"/>
    <w:rsid w:val="004774C7"/>
    <w:rsid w:val="004802DE"/>
    <w:rsid w:val="00480549"/>
    <w:rsid w:val="00480D91"/>
    <w:rsid w:val="00481BDF"/>
    <w:rsid w:val="00482B34"/>
    <w:rsid w:val="004834E6"/>
    <w:rsid w:val="00483CA8"/>
    <w:rsid w:val="0048409F"/>
    <w:rsid w:val="004842F0"/>
    <w:rsid w:val="0048606A"/>
    <w:rsid w:val="00486640"/>
    <w:rsid w:val="0049014D"/>
    <w:rsid w:val="004907F7"/>
    <w:rsid w:val="004922C5"/>
    <w:rsid w:val="0049331D"/>
    <w:rsid w:val="00495A5F"/>
    <w:rsid w:val="00496F42"/>
    <w:rsid w:val="004A02F4"/>
    <w:rsid w:val="004A1A5A"/>
    <w:rsid w:val="004A1EDD"/>
    <w:rsid w:val="004A264C"/>
    <w:rsid w:val="004A3231"/>
    <w:rsid w:val="004A3247"/>
    <w:rsid w:val="004A4C7B"/>
    <w:rsid w:val="004A5749"/>
    <w:rsid w:val="004A7503"/>
    <w:rsid w:val="004B1929"/>
    <w:rsid w:val="004B1DA5"/>
    <w:rsid w:val="004B2168"/>
    <w:rsid w:val="004B21F2"/>
    <w:rsid w:val="004B4055"/>
    <w:rsid w:val="004B52F7"/>
    <w:rsid w:val="004B60EA"/>
    <w:rsid w:val="004B77CC"/>
    <w:rsid w:val="004C112A"/>
    <w:rsid w:val="004C53AE"/>
    <w:rsid w:val="004C5E73"/>
    <w:rsid w:val="004C5FCB"/>
    <w:rsid w:val="004C648F"/>
    <w:rsid w:val="004C687E"/>
    <w:rsid w:val="004C794F"/>
    <w:rsid w:val="004C7D20"/>
    <w:rsid w:val="004D0003"/>
    <w:rsid w:val="004D0962"/>
    <w:rsid w:val="004D12A4"/>
    <w:rsid w:val="004D2000"/>
    <w:rsid w:val="004D2A3C"/>
    <w:rsid w:val="004D4A64"/>
    <w:rsid w:val="004D5876"/>
    <w:rsid w:val="004D75D6"/>
    <w:rsid w:val="004E001B"/>
    <w:rsid w:val="004E065B"/>
    <w:rsid w:val="004E072C"/>
    <w:rsid w:val="004E1CA9"/>
    <w:rsid w:val="004E2EB5"/>
    <w:rsid w:val="004E39A3"/>
    <w:rsid w:val="004E58CB"/>
    <w:rsid w:val="004E5BE9"/>
    <w:rsid w:val="004E6C06"/>
    <w:rsid w:val="004F071B"/>
    <w:rsid w:val="004F3AA6"/>
    <w:rsid w:val="004F403A"/>
    <w:rsid w:val="004F5490"/>
    <w:rsid w:val="004F565F"/>
    <w:rsid w:val="004F6ABB"/>
    <w:rsid w:val="004F715B"/>
    <w:rsid w:val="004F75D0"/>
    <w:rsid w:val="00500AF4"/>
    <w:rsid w:val="00500AFF"/>
    <w:rsid w:val="00501001"/>
    <w:rsid w:val="00501D34"/>
    <w:rsid w:val="00503C86"/>
    <w:rsid w:val="005055BF"/>
    <w:rsid w:val="005062E2"/>
    <w:rsid w:val="005064AE"/>
    <w:rsid w:val="00510193"/>
    <w:rsid w:val="005108ED"/>
    <w:rsid w:val="0051102A"/>
    <w:rsid w:val="00511D56"/>
    <w:rsid w:val="00514109"/>
    <w:rsid w:val="00514B83"/>
    <w:rsid w:val="00515FF8"/>
    <w:rsid w:val="005173FD"/>
    <w:rsid w:val="00517636"/>
    <w:rsid w:val="005176D7"/>
    <w:rsid w:val="0051796A"/>
    <w:rsid w:val="005179DB"/>
    <w:rsid w:val="00520297"/>
    <w:rsid w:val="00521A3B"/>
    <w:rsid w:val="0052213F"/>
    <w:rsid w:val="0052241F"/>
    <w:rsid w:val="00522EB8"/>
    <w:rsid w:val="00523145"/>
    <w:rsid w:val="0052395F"/>
    <w:rsid w:val="00523CB7"/>
    <w:rsid w:val="00524C87"/>
    <w:rsid w:val="0052610D"/>
    <w:rsid w:val="00527A4A"/>
    <w:rsid w:val="005300BA"/>
    <w:rsid w:val="00531E32"/>
    <w:rsid w:val="00534510"/>
    <w:rsid w:val="00536BF1"/>
    <w:rsid w:val="005400CC"/>
    <w:rsid w:val="00540D9D"/>
    <w:rsid w:val="00544151"/>
    <w:rsid w:val="00545897"/>
    <w:rsid w:val="00546D1D"/>
    <w:rsid w:val="00547827"/>
    <w:rsid w:val="005500F8"/>
    <w:rsid w:val="00553376"/>
    <w:rsid w:val="0055376F"/>
    <w:rsid w:val="00557945"/>
    <w:rsid w:val="00557CDF"/>
    <w:rsid w:val="0056007F"/>
    <w:rsid w:val="005635EE"/>
    <w:rsid w:val="00564962"/>
    <w:rsid w:val="005661A3"/>
    <w:rsid w:val="00567E02"/>
    <w:rsid w:val="00567FDF"/>
    <w:rsid w:val="005705E3"/>
    <w:rsid w:val="00570B5B"/>
    <w:rsid w:val="00570C90"/>
    <w:rsid w:val="005719DE"/>
    <w:rsid w:val="0057753F"/>
    <w:rsid w:val="00582CB2"/>
    <w:rsid w:val="005835A5"/>
    <w:rsid w:val="00584171"/>
    <w:rsid w:val="00584346"/>
    <w:rsid w:val="00584AEE"/>
    <w:rsid w:val="00584D1C"/>
    <w:rsid w:val="005866A0"/>
    <w:rsid w:val="0058724C"/>
    <w:rsid w:val="00587399"/>
    <w:rsid w:val="0059149A"/>
    <w:rsid w:val="005919CF"/>
    <w:rsid w:val="00592BAE"/>
    <w:rsid w:val="00597597"/>
    <w:rsid w:val="005979DB"/>
    <w:rsid w:val="005A1E80"/>
    <w:rsid w:val="005A3078"/>
    <w:rsid w:val="005A71B5"/>
    <w:rsid w:val="005B2BCA"/>
    <w:rsid w:val="005B2C95"/>
    <w:rsid w:val="005B31F1"/>
    <w:rsid w:val="005B4416"/>
    <w:rsid w:val="005B5605"/>
    <w:rsid w:val="005B62F7"/>
    <w:rsid w:val="005B6F84"/>
    <w:rsid w:val="005B7638"/>
    <w:rsid w:val="005C0521"/>
    <w:rsid w:val="005C0BE5"/>
    <w:rsid w:val="005C0FEC"/>
    <w:rsid w:val="005C164D"/>
    <w:rsid w:val="005C4297"/>
    <w:rsid w:val="005C450B"/>
    <w:rsid w:val="005C477D"/>
    <w:rsid w:val="005C60F0"/>
    <w:rsid w:val="005D32A3"/>
    <w:rsid w:val="005D63F9"/>
    <w:rsid w:val="005D6499"/>
    <w:rsid w:val="005D78DF"/>
    <w:rsid w:val="005E081D"/>
    <w:rsid w:val="005E0E29"/>
    <w:rsid w:val="005E21DD"/>
    <w:rsid w:val="005E2259"/>
    <w:rsid w:val="005E6C1A"/>
    <w:rsid w:val="005E6D7D"/>
    <w:rsid w:val="005F02B9"/>
    <w:rsid w:val="005F1C0D"/>
    <w:rsid w:val="005F208C"/>
    <w:rsid w:val="005F4613"/>
    <w:rsid w:val="005F55BF"/>
    <w:rsid w:val="005F61EC"/>
    <w:rsid w:val="00602FA9"/>
    <w:rsid w:val="006033CE"/>
    <w:rsid w:val="006045AA"/>
    <w:rsid w:val="00604C2A"/>
    <w:rsid w:val="00606281"/>
    <w:rsid w:val="006108F3"/>
    <w:rsid w:val="006114BD"/>
    <w:rsid w:val="0061331E"/>
    <w:rsid w:val="006135CC"/>
    <w:rsid w:val="00615763"/>
    <w:rsid w:val="00615F3B"/>
    <w:rsid w:val="006161E1"/>
    <w:rsid w:val="00616C14"/>
    <w:rsid w:val="00616CDB"/>
    <w:rsid w:val="00617792"/>
    <w:rsid w:val="00617D24"/>
    <w:rsid w:val="00617DD2"/>
    <w:rsid w:val="006205DA"/>
    <w:rsid w:val="00621CFF"/>
    <w:rsid w:val="00622F0B"/>
    <w:rsid w:val="00625465"/>
    <w:rsid w:val="0062585D"/>
    <w:rsid w:val="0062593D"/>
    <w:rsid w:val="00626A12"/>
    <w:rsid w:val="00626A8B"/>
    <w:rsid w:val="00630F54"/>
    <w:rsid w:val="00630FDE"/>
    <w:rsid w:val="006316DB"/>
    <w:rsid w:val="00632A60"/>
    <w:rsid w:val="00632C33"/>
    <w:rsid w:val="00634FA2"/>
    <w:rsid w:val="00635425"/>
    <w:rsid w:val="00636115"/>
    <w:rsid w:val="0063703A"/>
    <w:rsid w:val="00642D37"/>
    <w:rsid w:val="00643719"/>
    <w:rsid w:val="0064559B"/>
    <w:rsid w:val="00647031"/>
    <w:rsid w:val="00647953"/>
    <w:rsid w:val="00652672"/>
    <w:rsid w:val="006526A8"/>
    <w:rsid w:val="006530F9"/>
    <w:rsid w:val="00653C55"/>
    <w:rsid w:val="00654B91"/>
    <w:rsid w:val="00656634"/>
    <w:rsid w:val="00657128"/>
    <w:rsid w:val="006604A2"/>
    <w:rsid w:val="00662193"/>
    <w:rsid w:val="00662CB8"/>
    <w:rsid w:val="00663234"/>
    <w:rsid w:val="00663C40"/>
    <w:rsid w:val="00665AF8"/>
    <w:rsid w:val="00667483"/>
    <w:rsid w:val="0067177D"/>
    <w:rsid w:val="006718B8"/>
    <w:rsid w:val="00672ACB"/>
    <w:rsid w:val="0067368C"/>
    <w:rsid w:val="00673AB4"/>
    <w:rsid w:val="00673CD2"/>
    <w:rsid w:val="0067530E"/>
    <w:rsid w:val="0067548B"/>
    <w:rsid w:val="006816CF"/>
    <w:rsid w:val="006818E8"/>
    <w:rsid w:val="00681952"/>
    <w:rsid w:val="006820A4"/>
    <w:rsid w:val="00684D85"/>
    <w:rsid w:val="0068561A"/>
    <w:rsid w:val="00685A97"/>
    <w:rsid w:val="00685C5F"/>
    <w:rsid w:val="00685EAE"/>
    <w:rsid w:val="006874BB"/>
    <w:rsid w:val="00687676"/>
    <w:rsid w:val="00687713"/>
    <w:rsid w:val="00687A8C"/>
    <w:rsid w:val="00690ECE"/>
    <w:rsid w:val="006920A5"/>
    <w:rsid w:val="00692479"/>
    <w:rsid w:val="006933B8"/>
    <w:rsid w:val="00694906"/>
    <w:rsid w:val="00695368"/>
    <w:rsid w:val="00696153"/>
    <w:rsid w:val="00696DE9"/>
    <w:rsid w:val="006A036D"/>
    <w:rsid w:val="006A0F2A"/>
    <w:rsid w:val="006A10FB"/>
    <w:rsid w:val="006A2376"/>
    <w:rsid w:val="006A2A4B"/>
    <w:rsid w:val="006A51DF"/>
    <w:rsid w:val="006A5779"/>
    <w:rsid w:val="006A733A"/>
    <w:rsid w:val="006B051F"/>
    <w:rsid w:val="006B1607"/>
    <w:rsid w:val="006B375F"/>
    <w:rsid w:val="006B4174"/>
    <w:rsid w:val="006B44D6"/>
    <w:rsid w:val="006B555A"/>
    <w:rsid w:val="006B5683"/>
    <w:rsid w:val="006B575D"/>
    <w:rsid w:val="006B6ACE"/>
    <w:rsid w:val="006C0043"/>
    <w:rsid w:val="006C07DF"/>
    <w:rsid w:val="006C35AD"/>
    <w:rsid w:val="006C492F"/>
    <w:rsid w:val="006C5010"/>
    <w:rsid w:val="006C766A"/>
    <w:rsid w:val="006D11F1"/>
    <w:rsid w:val="006D1340"/>
    <w:rsid w:val="006D1FAD"/>
    <w:rsid w:val="006D2262"/>
    <w:rsid w:val="006D4305"/>
    <w:rsid w:val="006D538E"/>
    <w:rsid w:val="006D5709"/>
    <w:rsid w:val="006D6137"/>
    <w:rsid w:val="006E05BA"/>
    <w:rsid w:val="006E0EAD"/>
    <w:rsid w:val="006E33E1"/>
    <w:rsid w:val="006E3A5C"/>
    <w:rsid w:val="006E4E32"/>
    <w:rsid w:val="006E58CA"/>
    <w:rsid w:val="006E67D5"/>
    <w:rsid w:val="006E7479"/>
    <w:rsid w:val="006F0ED6"/>
    <w:rsid w:val="006F12E6"/>
    <w:rsid w:val="006F13C9"/>
    <w:rsid w:val="006F3088"/>
    <w:rsid w:val="006F5878"/>
    <w:rsid w:val="006F6494"/>
    <w:rsid w:val="006F70A9"/>
    <w:rsid w:val="006F72D0"/>
    <w:rsid w:val="00701EDE"/>
    <w:rsid w:val="00702321"/>
    <w:rsid w:val="00705153"/>
    <w:rsid w:val="00705D64"/>
    <w:rsid w:val="007063A1"/>
    <w:rsid w:val="0070759C"/>
    <w:rsid w:val="0071009B"/>
    <w:rsid w:val="00710E4E"/>
    <w:rsid w:val="00715E58"/>
    <w:rsid w:val="007162AB"/>
    <w:rsid w:val="00716BF3"/>
    <w:rsid w:val="00717554"/>
    <w:rsid w:val="0071770D"/>
    <w:rsid w:val="00717738"/>
    <w:rsid w:val="00722944"/>
    <w:rsid w:val="00724F52"/>
    <w:rsid w:val="00727A93"/>
    <w:rsid w:val="00734165"/>
    <w:rsid w:val="007349C0"/>
    <w:rsid w:val="00734F9F"/>
    <w:rsid w:val="00735183"/>
    <w:rsid w:val="0073613D"/>
    <w:rsid w:val="00741723"/>
    <w:rsid w:val="00743CBC"/>
    <w:rsid w:val="00745874"/>
    <w:rsid w:val="00746230"/>
    <w:rsid w:val="007504BD"/>
    <w:rsid w:val="00751579"/>
    <w:rsid w:val="00753246"/>
    <w:rsid w:val="007545B9"/>
    <w:rsid w:val="00754D64"/>
    <w:rsid w:val="00755B1C"/>
    <w:rsid w:val="00757B30"/>
    <w:rsid w:val="00760956"/>
    <w:rsid w:val="007644BF"/>
    <w:rsid w:val="0076793C"/>
    <w:rsid w:val="00770992"/>
    <w:rsid w:val="00770EB0"/>
    <w:rsid w:val="00772298"/>
    <w:rsid w:val="00772309"/>
    <w:rsid w:val="00773422"/>
    <w:rsid w:val="00774278"/>
    <w:rsid w:val="00774F79"/>
    <w:rsid w:val="007750F7"/>
    <w:rsid w:val="00777BEC"/>
    <w:rsid w:val="00781ECA"/>
    <w:rsid w:val="00781F30"/>
    <w:rsid w:val="00782B46"/>
    <w:rsid w:val="007834E4"/>
    <w:rsid w:val="00783BE3"/>
    <w:rsid w:val="00784B82"/>
    <w:rsid w:val="00785DC6"/>
    <w:rsid w:val="00785DD9"/>
    <w:rsid w:val="0078720F"/>
    <w:rsid w:val="007873BA"/>
    <w:rsid w:val="007901CB"/>
    <w:rsid w:val="00790BD9"/>
    <w:rsid w:val="00795466"/>
    <w:rsid w:val="007959E9"/>
    <w:rsid w:val="00795EFE"/>
    <w:rsid w:val="007963DF"/>
    <w:rsid w:val="007A459C"/>
    <w:rsid w:val="007A4C91"/>
    <w:rsid w:val="007A5AA6"/>
    <w:rsid w:val="007A6FFA"/>
    <w:rsid w:val="007A7FA7"/>
    <w:rsid w:val="007B04B9"/>
    <w:rsid w:val="007B2439"/>
    <w:rsid w:val="007B24F6"/>
    <w:rsid w:val="007B35DD"/>
    <w:rsid w:val="007B758D"/>
    <w:rsid w:val="007C2021"/>
    <w:rsid w:val="007C2434"/>
    <w:rsid w:val="007C2E5A"/>
    <w:rsid w:val="007C3B5D"/>
    <w:rsid w:val="007C414F"/>
    <w:rsid w:val="007C4AE6"/>
    <w:rsid w:val="007C504C"/>
    <w:rsid w:val="007C6238"/>
    <w:rsid w:val="007C63A8"/>
    <w:rsid w:val="007C6670"/>
    <w:rsid w:val="007C7B2F"/>
    <w:rsid w:val="007D18E7"/>
    <w:rsid w:val="007D7C53"/>
    <w:rsid w:val="007D7CA9"/>
    <w:rsid w:val="007E151E"/>
    <w:rsid w:val="007E23C3"/>
    <w:rsid w:val="007E3285"/>
    <w:rsid w:val="007E37AE"/>
    <w:rsid w:val="007E3AB9"/>
    <w:rsid w:val="007E4481"/>
    <w:rsid w:val="007E4692"/>
    <w:rsid w:val="007E52D2"/>
    <w:rsid w:val="007E5779"/>
    <w:rsid w:val="007E60B5"/>
    <w:rsid w:val="007E7351"/>
    <w:rsid w:val="007F0181"/>
    <w:rsid w:val="007F0833"/>
    <w:rsid w:val="007F1517"/>
    <w:rsid w:val="007F2B9C"/>
    <w:rsid w:val="007F7557"/>
    <w:rsid w:val="0080169C"/>
    <w:rsid w:val="008022FC"/>
    <w:rsid w:val="00802370"/>
    <w:rsid w:val="00802F58"/>
    <w:rsid w:val="008048B0"/>
    <w:rsid w:val="00804F31"/>
    <w:rsid w:val="00805709"/>
    <w:rsid w:val="00806DB1"/>
    <w:rsid w:val="00810043"/>
    <w:rsid w:val="008105A2"/>
    <w:rsid w:val="00811B8A"/>
    <w:rsid w:val="00812C3D"/>
    <w:rsid w:val="008136ED"/>
    <w:rsid w:val="00813D88"/>
    <w:rsid w:val="00814A6F"/>
    <w:rsid w:val="00815031"/>
    <w:rsid w:val="008154EF"/>
    <w:rsid w:val="00816B27"/>
    <w:rsid w:val="0082137F"/>
    <w:rsid w:val="00821558"/>
    <w:rsid w:val="00826877"/>
    <w:rsid w:val="0083126F"/>
    <w:rsid w:val="00831B12"/>
    <w:rsid w:val="00835C53"/>
    <w:rsid w:val="00836C8E"/>
    <w:rsid w:val="00837171"/>
    <w:rsid w:val="00837F31"/>
    <w:rsid w:val="00840B14"/>
    <w:rsid w:val="00841BBE"/>
    <w:rsid w:val="00842B64"/>
    <w:rsid w:val="00843BF6"/>
    <w:rsid w:val="008446CE"/>
    <w:rsid w:val="008462BD"/>
    <w:rsid w:val="0084724F"/>
    <w:rsid w:val="0085087A"/>
    <w:rsid w:val="00851321"/>
    <w:rsid w:val="00853B93"/>
    <w:rsid w:val="00854715"/>
    <w:rsid w:val="00854992"/>
    <w:rsid w:val="00855108"/>
    <w:rsid w:val="00856E69"/>
    <w:rsid w:val="00857894"/>
    <w:rsid w:val="0086453F"/>
    <w:rsid w:val="008648FC"/>
    <w:rsid w:val="00865EA6"/>
    <w:rsid w:val="00865EE9"/>
    <w:rsid w:val="008736DA"/>
    <w:rsid w:val="00874A2D"/>
    <w:rsid w:val="008755E2"/>
    <w:rsid w:val="0087587B"/>
    <w:rsid w:val="008760D1"/>
    <w:rsid w:val="00876381"/>
    <w:rsid w:val="0087659F"/>
    <w:rsid w:val="008765A4"/>
    <w:rsid w:val="00876D45"/>
    <w:rsid w:val="0088189F"/>
    <w:rsid w:val="00882387"/>
    <w:rsid w:val="00883D8B"/>
    <w:rsid w:val="00883E63"/>
    <w:rsid w:val="008845B6"/>
    <w:rsid w:val="00885EE6"/>
    <w:rsid w:val="008867EB"/>
    <w:rsid w:val="00887CAD"/>
    <w:rsid w:val="008902D7"/>
    <w:rsid w:val="00892753"/>
    <w:rsid w:val="00892BC8"/>
    <w:rsid w:val="008930BC"/>
    <w:rsid w:val="00893944"/>
    <w:rsid w:val="00895110"/>
    <w:rsid w:val="00895E6D"/>
    <w:rsid w:val="00896496"/>
    <w:rsid w:val="00896DCC"/>
    <w:rsid w:val="00897ED4"/>
    <w:rsid w:val="008A03A1"/>
    <w:rsid w:val="008A08ED"/>
    <w:rsid w:val="008A0DDC"/>
    <w:rsid w:val="008A1073"/>
    <w:rsid w:val="008A19EF"/>
    <w:rsid w:val="008A2133"/>
    <w:rsid w:val="008A2788"/>
    <w:rsid w:val="008A3298"/>
    <w:rsid w:val="008A3B20"/>
    <w:rsid w:val="008A3DDA"/>
    <w:rsid w:val="008A5852"/>
    <w:rsid w:val="008A5B50"/>
    <w:rsid w:val="008A73D4"/>
    <w:rsid w:val="008B5B12"/>
    <w:rsid w:val="008B69BC"/>
    <w:rsid w:val="008C4B59"/>
    <w:rsid w:val="008C4C55"/>
    <w:rsid w:val="008C5A76"/>
    <w:rsid w:val="008C5A77"/>
    <w:rsid w:val="008C7AAB"/>
    <w:rsid w:val="008D0790"/>
    <w:rsid w:val="008D1466"/>
    <w:rsid w:val="008D1480"/>
    <w:rsid w:val="008D1BEB"/>
    <w:rsid w:val="008D32BD"/>
    <w:rsid w:val="008D4C2E"/>
    <w:rsid w:val="008D63D3"/>
    <w:rsid w:val="008D6909"/>
    <w:rsid w:val="008D7EDB"/>
    <w:rsid w:val="008E095B"/>
    <w:rsid w:val="008E41B2"/>
    <w:rsid w:val="008E6A08"/>
    <w:rsid w:val="008E6B29"/>
    <w:rsid w:val="008E6D8D"/>
    <w:rsid w:val="008E6FBB"/>
    <w:rsid w:val="008E77EB"/>
    <w:rsid w:val="008F310E"/>
    <w:rsid w:val="008F5D30"/>
    <w:rsid w:val="008F60AD"/>
    <w:rsid w:val="008F642D"/>
    <w:rsid w:val="008F71C4"/>
    <w:rsid w:val="008F7B15"/>
    <w:rsid w:val="00900000"/>
    <w:rsid w:val="009040FF"/>
    <w:rsid w:val="00910C69"/>
    <w:rsid w:val="00910CEE"/>
    <w:rsid w:val="00911C8C"/>
    <w:rsid w:val="00911FA8"/>
    <w:rsid w:val="00912422"/>
    <w:rsid w:val="00912674"/>
    <w:rsid w:val="00912777"/>
    <w:rsid w:val="00913DD7"/>
    <w:rsid w:val="00914E42"/>
    <w:rsid w:val="009157EC"/>
    <w:rsid w:val="00916DC1"/>
    <w:rsid w:val="00917690"/>
    <w:rsid w:val="00917ED2"/>
    <w:rsid w:val="009204A6"/>
    <w:rsid w:val="009212E9"/>
    <w:rsid w:val="00922F9E"/>
    <w:rsid w:val="0092368C"/>
    <w:rsid w:val="009256A5"/>
    <w:rsid w:val="00925DF3"/>
    <w:rsid w:val="00931111"/>
    <w:rsid w:val="009348B0"/>
    <w:rsid w:val="00935791"/>
    <w:rsid w:val="0093775F"/>
    <w:rsid w:val="00940182"/>
    <w:rsid w:val="00941780"/>
    <w:rsid w:val="00941E7B"/>
    <w:rsid w:val="00942992"/>
    <w:rsid w:val="00943AB3"/>
    <w:rsid w:val="00943D55"/>
    <w:rsid w:val="009455C3"/>
    <w:rsid w:val="00952539"/>
    <w:rsid w:val="00952F84"/>
    <w:rsid w:val="00953390"/>
    <w:rsid w:val="00954056"/>
    <w:rsid w:val="00954E5B"/>
    <w:rsid w:val="00954FB2"/>
    <w:rsid w:val="0095578E"/>
    <w:rsid w:val="00956E33"/>
    <w:rsid w:val="00961032"/>
    <w:rsid w:val="00962626"/>
    <w:rsid w:val="009649D2"/>
    <w:rsid w:val="00964E04"/>
    <w:rsid w:val="00966B19"/>
    <w:rsid w:val="00966F0F"/>
    <w:rsid w:val="009672D7"/>
    <w:rsid w:val="009700BB"/>
    <w:rsid w:val="0097064B"/>
    <w:rsid w:val="00970FFA"/>
    <w:rsid w:val="0097147E"/>
    <w:rsid w:val="00971A38"/>
    <w:rsid w:val="00971C12"/>
    <w:rsid w:val="0097248A"/>
    <w:rsid w:val="00973B42"/>
    <w:rsid w:val="00975D4F"/>
    <w:rsid w:val="00976EB5"/>
    <w:rsid w:val="00977109"/>
    <w:rsid w:val="00980B2E"/>
    <w:rsid w:val="00981CDC"/>
    <w:rsid w:val="00987FD3"/>
    <w:rsid w:val="00990D66"/>
    <w:rsid w:val="00990EAE"/>
    <w:rsid w:val="0099109E"/>
    <w:rsid w:val="009910F2"/>
    <w:rsid w:val="009936BB"/>
    <w:rsid w:val="009937F8"/>
    <w:rsid w:val="00993D70"/>
    <w:rsid w:val="00994404"/>
    <w:rsid w:val="00994A12"/>
    <w:rsid w:val="0099702A"/>
    <w:rsid w:val="009A02E9"/>
    <w:rsid w:val="009A2FCD"/>
    <w:rsid w:val="009A386C"/>
    <w:rsid w:val="009A3CA7"/>
    <w:rsid w:val="009A59D9"/>
    <w:rsid w:val="009A5B8E"/>
    <w:rsid w:val="009A6B56"/>
    <w:rsid w:val="009B0043"/>
    <w:rsid w:val="009B233E"/>
    <w:rsid w:val="009B430E"/>
    <w:rsid w:val="009B6E01"/>
    <w:rsid w:val="009C2397"/>
    <w:rsid w:val="009C66E8"/>
    <w:rsid w:val="009C76EA"/>
    <w:rsid w:val="009D03F9"/>
    <w:rsid w:val="009D122E"/>
    <w:rsid w:val="009D1A9A"/>
    <w:rsid w:val="009D208F"/>
    <w:rsid w:val="009E03E3"/>
    <w:rsid w:val="009E11DC"/>
    <w:rsid w:val="009E1441"/>
    <w:rsid w:val="009E1DF0"/>
    <w:rsid w:val="009E2567"/>
    <w:rsid w:val="009E2DED"/>
    <w:rsid w:val="009E312C"/>
    <w:rsid w:val="009E620E"/>
    <w:rsid w:val="009F2685"/>
    <w:rsid w:val="009F4C96"/>
    <w:rsid w:val="009F5800"/>
    <w:rsid w:val="009F6304"/>
    <w:rsid w:val="009F6E7E"/>
    <w:rsid w:val="00A003D2"/>
    <w:rsid w:val="00A00E5D"/>
    <w:rsid w:val="00A027E9"/>
    <w:rsid w:val="00A0289B"/>
    <w:rsid w:val="00A034B6"/>
    <w:rsid w:val="00A03C0B"/>
    <w:rsid w:val="00A03E30"/>
    <w:rsid w:val="00A04A87"/>
    <w:rsid w:val="00A06B67"/>
    <w:rsid w:val="00A06C8F"/>
    <w:rsid w:val="00A073BB"/>
    <w:rsid w:val="00A10E1F"/>
    <w:rsid w:val="00A10FE5"/>
    <w:rsid w:val="00A1158E"/>
    <w:rsid w:val="00A11628"/>
    <w:rsid w:val="00A127C7"/>
    <w:rsid w:val="00A12BE3"/>
    <w:rsid w:val="00A150FC"/>
    <w:rsid w:val="00A1582C"/>
    <w:rsid w:val="00A174B9"/>
    <w:rsid w:val="00A17CB0"/>
    <w:rsid w:val="00A221C4"/>
    <w:rsid w:val="00A22F85"/>
    <w:rsid w:val="00A246AD"/>
    <w:rsid w:val="00A2514B"/>
    <w:rsid w:val="00A26932"/>
    <w:rsid w:val="00A26F01"/>
    <w:rsid w:val="00A273F4"/>
    <w:rsid w:val="00A27542"/>
    <w:rsid w:val="00A30834"/>
    <w:rsid w:val="00A31D4C"/>
    <w:rsid w:val="00A32CF9"/>
    <w:rsid w:val="00A34257"/>
    <w:rsid w:val="00A351AC"/>
    <w:rsid w:val="00A3546C"/>
    <w:rsid w:val="00A36BBF"/>
    <w:rsid w:val="00A411F0"/>
    <w:rsid w:val="00A41F06"/>
    <w:rsid w:val="00A42CE9"/>
    <w:rsid w:val="00A42DA5"/>
    <w:rsid w:val="00A44900"/>
    <w:rsid w:val="00A4582B"/>
    <w:rsid w:val="00A45E12"/>
    <w:rsid w:val="00A46FD9"/>
    <w:rsid w:val="00A47002"/>
    <w:rsid w:val="00A47347"/>
    <w:rsid w:val="00A47C2D"/>
    <w:rsid w:val="00A47FD2"/>
    <w:rsid w:val="00A53395"/>
    <w:rsid w:val="00A534BE"/>
    <w:rsid w:val="00A5391B"/>
    <w:rsid w:val="00A54824"/>
    <w:rsid w:val="00A54C11"/>
    <w:rsid w:val="00A551D4"/>
    <w:rsid w:val="00A5591E"/>
    <w:rsid w:val="00A55DFC"/>
    <w:rsid w:val="00A560E4"/>
    <w:rsid w:val="00A578CE"/>
    <w:rsid w:val="00A60705"/>
    <w:rsid w:val="00A62A7B"/>
    <w:rsid w:val="00A62C07"/>
    <w:rsid w:val="00A6667A"/>
    <w:rsid w:val="00A66EEC"/>
    <w:rsid w:val="00A73E50"/>
    <w:rsid w:val="00A74928"/>
    <w:rsid w:val="00A74AD6"/>
    <w:rsid w:val="00A7578B"/>
    <w:rsid w:val="00A75F45"/>
    <w:rsid w:val="00A764C1"/>
    <w:rsid w:val="00A76FF1"/>
    <w:rsid w:val="00A77513"/>
    <w:rsid w:val="00A77EAB"/>
    <w:rsid w:val="00A8015E"/>
    <w:rsid w:val="00A80328"/>
    <w:rsid w:val="00A817C6"/>
    <w:rsid w:val="00A8214D"/>
    <w:rsid w:val="00A824C7"/>
    <w:rsid w:val="00A84C65"/>
    <w:rsid w:val="00A8505F"/>
    <w:rsid w:val="00A8735C"/>
    <w:rsid w:val="00A879A6"/>
    <w:rsid w:val="00A90268"/>
    <w:rsid w:val="00A91BBE"/>
    <w:rsid w:val="00A926CE"/>
    <w:rsid w:val="00A93625"/>
    <w:rsid w:val="00A93F80"/>
    <w:rsid w:val="00A948C5"/>
    <w:rsid w:val="00A9589D"/>
    <w:rsid w:val="00A97C1D"/>
    <w:rsid w:val="00AA3A7E"/>
    <w:rsid w:val="00AA511A"/>
    <w:rsid w:val="00AA5449"/>
    <w:rsid w:val="00AA6FEC"/>
    <w:rsid w:val="00AB04F6"/>
    <w:rsid w:val="00AB1E3A"/>
    <w:rsid w:val="00AB2B8D"/>
    <w:rsid w:val="00AB3701"/>
    <w:rsid w:val="00AB4E43"/>
    <w:rsid w:val="00AB5A66"/>
    <w:rsid w:val="00AB5D02"/>
    <w:rsid w:val="00AB759E"/>
    <w:rsid w:val="00AC0AFA"/>
    <w:rsid w:val="00AC0FA1"/>
    <w:rsid w:val="00AC1BE2"/>
    <w:rsid w:val="00AC1D9B"/>
    <w:rsid w:val="00AC2E65"/>
    <w:rsid w:val="00AC381A"/>
    <w:rsid w:val="00AC60FA"/>
    <w:rsid w:val="00AC63C4"/>
    <w:rsid w:val="00AD79CC"/>
    <w:rsid w:val="00AE0D18"/>
    <w:rsid w:val="00AE0EF9"/>
    <w:rsid w:val="00AE1AE1"/>
    <w:rsid w:val="00AE457E"/>
    <w:rsid w:val="00AE4F71"/>
    <w:rsid w:val="00AF35EE"/>
    <w:rsid w:val="00AF474A"/>
    <w:rsid w:val="00AF4973"/>
    <w:rsid w:val="00AF692A"/>
    <w:rsid w:val="00AF6F6A"/>
    <w:rsid w:val="00AF6F94"/>
    <w:rsid w:val="00B0029A"/>
    <w:rsid w:val="00B018B7"/>
    <w:rsid w:val="00B025DB"/>
    <w:rsid w:val="00B03BF5"/>
    <w:rsid w:val="00B04B88"/>
    <w:rsid w:val="00B113CC"/>
    <w:rsid w:val="00B11CA6"/>
    <w:rsid w:val="00B122A3"/>
    <w:rsid w:val="00B12476"/>
    <w:rsid w:val="00B12B08"/>
    <w:rsid w:val="00B1382D"/>
    <w:rsid w:val="00B14411"/>
    <w:rsid w:val="00B1497E"/>
    <w:rsid w:val="00B14E5A"/>
    <w:rsid w:val="00B15626"/>
    <w:rsid w:val="00B156D0"/>
    <w:rsid w:val="00B20FE0"/>
    <w:rsid w:val="00B219B5"/>
    <w:rsid w:val="00B22C66"/>
    <w:rsid w:val="00B24C2C"/>
    <w:rsid w:val="00B25CEA"/>
    <w:rsid w:val="00B25E34"/>
    <w:rsid w:val="00B27F99"/>
    <w:rsid w:val="00B30B83"/>
    <w:rsid w:val="00B32518"/>
    <w:rsid w:val="00B32B8F"/>
    <w:rsid w:val="00B33A0D"/>
    <w:rsid w:val="00B348C8"/>
    <w:rsid w:val="00B41498"/>
    <w:rsid w:val="00B42DC0"/>
    <w:rsid w:val="00B42EC1"/>
    <w:rsid w:val="00B441CD"/>
    <w:rsid w:val="00B446AC"/>
    <w:rsid w:val="00B46976"/>
    <w:rsid w:val="00B47349"/>
    <w:rsid w:val="00B4789A"/>
    <w:rsid w:val="00B50004"/>
    <w:rsid w:val="00B50379"/>
    <w:rsid w:val="00B507F5"/>
    <w:rsid w:val="00B51D5C"/>
    <w:rsid w:val="00B54E77"/>
    <w:rsid w:val="00B555F5"/>
    <w:rsid w:val="00B56B96"/>
    <w:rsid w:val="00B57369"/>
    <w:rsid w:val="00B57F38"/>
    <w:rsid w:val="00B624C0"/>
    <w:rsid w:val="00B626AF"/>
    <w:rsid w:val="00B62EB1"/>
    <w:rsid w:val="00B65DD7"/>
    <w:rsid w:val="00B66814"/>
    <w:rsid w:val="00B70F3E"/>
    <w:rsid w:val="00B710B0"/>
    <w:rsid w:val="00B72B02"/>
    <w:rsid w:val="00B72E75"/>
    <w:rsid w:val="00B7473E"/>
    <w:rsid w:val="00B75A1D"/>
    <w:rsid w:val="00B75E63"/>
    <w:rsid w:val="00B76980"/>
    <w:rsid w:val="00B80E95"/>
    <w:rsid w:val="00B82CB5"/>
    <w:rsid w:val="00B84119"/>
    <w:rsid w:val="00B842EF"/>
    <w:rsid w:val="00B85115"/>
    <w:rsid w:val="00B91A07"/>
    <w:rsid w:val="00B91B66"/>
    <w:rsid w:val="00B91F08"/>
    <w:rsid w:val="00B95009"/>
    <w:rsid w:val="00B95232"/>
    <w:rsid w:val="00B95604"/>
    <w:rsid w:val="00B96162"/>
    <w:rsid w:val="00B96B80"/>
    <w:rsid w:val="00B96B83"/>
    <w:rsid w:val="00B97636"/>
    <w:rsid w:val="00B97EF1"/>
    <w:rsid w:val="00BA21AB"/>
    <w:rsid w:val="00BA260E"/>
    <w:rsid w:val="00BA2626"/>
    <w:rsid w:val="00BA3D65"/>
    <w:rsid w:val="00BA4AAC"/>
    <w:rsid w:val="00BA62C8"/>
    <w:rsid w:val="00BA62FE"/>
    <w:rsid w:val="00BA6CF0"/>
    <w:rsid w:val="00BA74F0"/>
    <w:rsid w:val="00BB24A8"/>
    <w:rsid w:val="00BB2E6E"/>
    <w:rsid w:val="00BB3CF5"/>
    <w:rsid w:val="00BB59B1"/>
    <w:rsid w:val="00BB691F"/>
    <w:rsid w:val="00BB6A2F"/>
    <w:rsid w:val="00BC0892"/>
    <w:rsid w:val="00BC48D0"/>
    <w:rsid w:val="00BC76DC"/>
    <w:rsid w:val="00BD16CA"/>
    <w:rsid w:val="00BD1DF6"/>
    <w:rsid w:val="00BD2901"/>
    <w:rsid w:val="00BD5671"/>
    <w:rsid w:val="00BD5D4D"/>
    <w:rsid w:val="00BD66FF"/>
    <w:rsid w:val="00BE0CE8"/>
    <w:rsid w:val="00BE1D8C"/>
    <w:rsid w:val="00BE36FB"/>
    <w:rsid w:val="00BE37CD"/>
    <w:rsid w:val="00BE4CCB"/>
    <w:rsid w:val="00BE5342"/>
    <w:rsid w:val="00BE7245"/>
    <w:rsid w:val="00BE7628"/>
    <w:rsid w:val="00BE7850"/>
    <w:rsid w:val="00BE7D03"/>
    <w:rsid w:val="00BF0985"/>
    <w:rsid w:val="00BF1DE5"/>
    <w:rsid w:val="00BF4CBE"/>
    <w:rsid w:val="00BF554C"/>
    <w:rsid w:val="00BF727E"/>
    <w:rsid w:val="00BF76F6"/>
    <w:rsid w:val="00BF786D"/>
    <w:rsid w:val="00C0093E"/>
    <w:rsid w:val="00C02768"/>
    <w:rsid w:val="00C02D9B"/>
    <w:rsid w:val="00C030BA"/>
    <w:rsid w:val="00C04210"/>
    <w:rsid w:val="00C06AEA"/>
    <w:rsid w:val="00C07D04"/>
    <w:rsid w:val="00C1008F"/>
    <w:rsid w:val="00C12F43"/>
    <w:rsid w:val="00C13474"/>
    <w:rsid w:val="00C13935"/>
    <w:rsid w:val="00C13BC8"/>
    <w:rsid w:val="00C13F4C"/>
    <w:rsid w:val="00C14ED7"/>
    <w:rsid w:val="00C15543"/>
    <w:rsid w:val="00C15B87"/>
    <w:rsid w:val="00C16CAF"/>
    <w:rsid w:val="00C16FBA"/>
    <w:rsid w:val="00C17BA6"/>
    <w:rsid w:val="00C203E8"/>
    <w:rsid w:val="00C218F4"/>
    <w:rsid w:val="00C22FBB"/>
    <w:rsid w:val="00C25A36"/>
    <w:rsid w:val="00C264AE"/>
    <w:rsid w:val="00C27BB0"/>
    <w:rsid w:val="00C31304"/>
    <w:rsid w:val="00C31C03"/>
    <w:rsid w:val="00C32B3B"/>
    <w:rsid w:val="00C34807"/>
    <w:rsid w:val="00C362D0"/>
    <w:rsid w:val="00C37059"/>
    <w:rsid w:val="00C40DFB"/>
    <w:rsid w:val="00C40F23"/>
    <w:rsid w:val="00C413B4"/>
    <w:rsid w:val="00C4487E"/>
    <w:rsid w:val="00C456BF"/>
    <w:rsid w:val="00C46E10"/>
    <w:rsid w:val="00C53076"/>
    <w:rsid w:val="00C536E0"/>
    <w:rsid w:val="00C566B4"/>
    <w:rsid w:val="00C56D74"/>
    <w:rsid w:val="00C57330"/>
    <w:rsid w:val="00C60E10"/>
    <w:rsid w:val="00C61462"/>
    <w:rsid w:val="00C61C59"/>
    <w:rsid w:val="00C61E95"/>
    <w:rsid w:val="00C6348E"/>
    <w:rsid w:val="00C640C4"/>
    <w:rsid w:val="00C64E89"/>
    <w:rsid w:val="00C71355"/>
    <w:rsid w:val="00C71817"/>
    <w:rsid w:val="00C733C1"/>
    <w:rsid w:val="00C75F71"/>
    <w:rsid w:val="00C76A44"/>
    <w:rsid w:val="00C82A37"/>
    <w:rsid w:val="00C82C94"/>
    <w:rsid w:val="00C83A6E"/>
    <w:rsid w:val="00C8419D"/>
    <w:rsid w:val="00C85CCE"/>
    <w:rsid w:val="00C90E97"/>
    <w:rsid w:val="00C91A8E"/>
    <w:rsid w:val="00C92314"/>
    <w:rsid w:val="00C929CE"/>
    <w:rsid w:val="00C929EE"/>
    <w:rsid w:val="00C92E08"/>
    <w:rsid w:val="00C930CA"/>
    <w:rsid w:val="00C936F8"/>
    <w:rsid w:val="00C95DE8"/>
    <w:rsid w:val="00C96429"/>
    <w:rsid w:val="00C965D4"/>
    <w:rsid w:val="00CA0941"/>
    <w:rsid w:val="00CA22CD"/>
    <w:rsid w:val="00CA2428"/>
    <w:rsid w:val="00CA2D5C"/>
    <w:rsid w:val="00CA3E41"/>
    <w:rsid w:val="00CA4026"/>
    <w:rsid w:val="00CA53DA"/>
    <w:rsid w:val="00CA6356"/>
    <w:rsid w:val="00CA790B"/>
    <w:rsid w:val="00CA7FDF"/>
    <w:rsid w:val="00CB007B"/>
    <w:rsid w:val="00CB04E1"/>
    <w:rsid w:val="00CB24B7"/>
    <w:rsid w:val="00CB3433"/>
    <w:rsid w:val="00CB5422"/>
    <w:rsid w:val="00CB5B3E"/>
    <w:rsid w:val="00CB7A24"/>
    <w:rsid w:val="00CC0C8B"/>
    <w:rsid w:val="00CC2208"/>
    <w:rsid w:val="00CC38FC"/>
    <w:rsid w:val="00CC447E"/>
    <w:rsid w:val="00CC4F16"/>
    <w:rsid w:val="00CC5C70"/>
    <w:rsid w:val="00CC5CCC"/>
    <w:rsid w:val="00CC68F9"/>
    <w:rsid w:val="00CD017F"/>
    <w:rsid w:val="00CD1B2B"/>
    <w:rsid w:val="00CD32EC"/>
    <w:rsid w:val="00CD36A4"/>
    <w:rsid w:val="00CD375F"/>
    <w:rsid w:val="00CD6CCE"/>
    <w:rsid w:val="00CD6F9E"/>
    <w:rsid w:val="00CD6FF1"/>
    <w:rsid w:val="00CD73EB"/>
    <w:rsid w:val="00CE0ED4"/>
    <w:rsid w:val="00CE1235"/>
    <w:rsid w:val="00CE1E9D"/>
    <w:rsid w:val="00CE2B35"/>
    <w:rsid w:val="00CE3008"/>
    <w:rsid w:val="00CE4A9F"/>
    <w:rsid w:val="00CE6A0E"/>
    <w:rsid w:val="00CE6B04"/>
    <w:rsid w:val="00CE6CB2"/>
    <w:rsid w:val="00CF0011"/>
    <w:rsid w:val="00CF2918"/>
    <w:rsid w:val="00CF368F"/>
    <w:rsid w:val="00CF40AE"/>
    <w:rsid w:val="00CF421B"/>
    <w:rsid w:val="00CF7366"/>
    <w:rsid w:val="00D00ADD"/>
    <w:rsid w:val="00D00BDD"/>
    <w:rsid w:val="00D015BF"/>
    <w:rsid w:val="00D04FF4"/>
    <w:rsid w:val="00D1566B"/>
    <w:rsid w:val="00D20B5B"/>
    <w:rsid w:val="00D21472"/>
    <w:rsid w:val="00D232E4"/>
    <w:rsid w:val="00D23D2A"/>
    <w:rsid w:val="00D24813"/>
    <w:rsid w:val="00D27FE4"/>
    <w:rsid w:val="00D30195"/>
    <w:rsid w:val="00D30FAD"/>
    <w:rsid w:val="00D314C0"/>
    <w:rsid w:val="00D3195D"/>
    <w:rsid w:val="00D3245D"/>
    <w:rsid w:val="00D32F7D"/>
    <w:rsid w:val="00D35C6E"/>
    <w:rsid w:val="00D3750C"/>
    <w:rsid w:val="00D400EB"/>
    <w:rsid w:val="00D40B96"/>
    <w:rsid w:val="00D411F0"/>
    <w:rsid w:val="00D43005"/>
    <w:rsid w:val="00D443D2"/>
    <w:rsid w:val="00D452B5"/>
    <w:rsid w:val="00D452DA"/>
    <w:rsid w:val="00D46D80"/>
    <w:rsid w:val="00D47D81"/>
    <w:rsid w:val="00D50647"/>
    <w:rsid w:val="00D51399"/>
    <w:rsid w:val="00D5215F"/>
    <w:rsid w:val="00D5277C"/>
    <w:rsid w:val="00D52C29"/>
    <w:rsid w:val="00D531E3"/>
    <w:rsid w:val="00D541C8"/>
    <w:rsid w:val="00D54226"/>
    <w:rsid w:val="00D54355"/>
    <w:rsid w:val="00D5454E"/>
    <w:rsid w:val="00D5678B"/>
    <w:rsid w:val="00D579C6"/>
    <w:rsid w:val="00D602D3"/>
    <w:rsid w:val="00D63621"/>
    <w:rsid w:val="00D63CBD"/>
    <w:rsid w:val="00D707F4"/>
    <w:rsid w:val="00D739F3"/>
    <w:rsid w:val="00D74B7E"/>
    <w:rsid w:val="00D75CE6"/>
    <w:rsid w:val="00D77D3E"/>
    <w:rsid w:val="00D804DE"/>
    <w:rsid w:val="00D81249"/>
    <w:rsid w:val="00D81711"/>
    <w:rsid w:val="00D81E50"/>
    <w:rsid w:val="00D83726"/>
    <w:rsid w:val="00D864B6"/>
    <w:rsid w:val="00D91CED"/>
    <w:rsid w:val="00D91F2F"/>
    <w:rsid w:val="00D9218E"/>
    <w:rsid w:val="00D92224"/>
    <w:rsid w:val="00D94B7D"/>
    <w:rsid w:val="00D94F7D"/>
    <w:rsid w:val="00D954B3"/>
    <w:rsid w:val="00D96645"/>
    <w:rsid w:val="00D97064"/>
    <w:rsid w:val="00DA0A58"/>
    <w:rsid w:val="00DA1B6C"/>
    <w:rsid w:val="00DA28A5"/>
    <w:rsid w:val="00DA4ED0"/>
    <w:rsid w:val="00DA6C94"/>
    <w:rsid w:val="00DA7EBE"/>
    <w:rsid w:val="00DB1E10"/>
    <w:rsid w:val="00DB268F"/>
    <w:rsid w:val="00DB36DF"/>
    <w:rsid w:val="00DB36FE"/>
    <w:rsid w:val="00DB4986"/>
    <w:rsid w:val="00DB51A3"/>
    <w:rsid w:val="00DB708D"/>
    <w:rsid w:val="00DC0281"/>
    <w:rsid w:val="00DC040F"/>
    <w:rsid w:val="00DC13F7"/>
    <w:rsid w:val="00DC375A"/>
    <w:rsid w:val="00DC6B17"/>
    <w:rsid w:val="00DC6FDD"/>
    <w:rsid w:val="00DC7EB9"/>
    <w:rsid w:val="00DD120C"/>
    <w:rsid w:val="00DD2353"/>
    <w:rsid w:val="00DD3049"/>
    <w:rsid w:val="00DD42DA"/>
    <w:rsid w:val="00DD444C"/>
    <w:rsid w:val="00DD50A8"/>
    <w:rsid w:val="00DD6296"/>
    <w:rsid w:val="00DD71DD"/>
    <w:rsid w:val="00DE099A"/>
    <w:rsid w:val="00DE0AC0"/>
    <w:rsid w:val="00DE18E5"/>
    <w:rsid w:val="00DE1CF5"/>
    <w:rsid w:val="00DE465C"/>
    <w:rsid w:val="00DE60B8"/>
    <w:rsid w:val="00DE67F7"/>
    <w:rsid w:val="00DF0BB7"/>
    <w:rsid w:val="00DF0D82"/>
    <w:rsid w:val="00DF161A"/>
    <w:rsid w:val="00DF17E0"/>
    <w:rsid w:val="00DF1C9B"/>
    <w:rsid w:val="00DF1E1D"/>
    <w:rsid w:val="00DF20F8"/>
    <w:rsid w:val="00DF2954"/>
    <w:rsid w:val="00DF2CE4"/>
    <w:rsid w:val="00DF3A98"/>
    <w:rsid w:val="00DF6FA0"/>
    <w:rsid w:val="00DF7F10"/>
    <w:rsid w:val="00E00623"/>
    <w:rsid w:val="00E020E1"/>
    <w:rsid w:val="00E04D35"/>
    <w:rsid w:val="00E05243"/>
    <w:rsid w:val="00E0558D"/>
    <w:rsid w:val="00E05F16"/>
    <w:rsid w:val="00E10A54"/>
    <w:rsid w:val="00E10DA9"/>
    <w:rsid w:val="00E111D6"/>
    <w:rsid w:val="00E13242"/>
    <w:rsid w:val="00E140F2"/>
    <w:rsid w:val="00E14312"/>
    <w:rsid w:val="00E145EA"/>
    <w:rsid w:val="00E1493A"/>
    <w:rsid w:val="00E16062"/>
    <w:rsid w:val="00E178B3"/>
    <w:rsid w:val="00E20568"/>
    <w:rsid w:val="00E21CB8"/>
    <w:rsid w:val="00E240AA"/>
    <w:rsid w:val="00E24821"/>
    <w:rsid w:val="00E26A21"/>
    <w:rsid w:val="00E3133B"/>
    <w:rsid w:val="00E3143E"/>
    <w:rsid w:val="00E31496"/>
    <w:rsid w:val="00E32C5C"/>
    <w:rsid w:val="00E33B8E"/>
    <w:rsid w:val="00E34264"/>
    <w:rsid w:val="00E34566"/>
    <w:rsid w:val="00E34E91"/>
    <w:rsid w:val="00E35AA2"/>
    <w:rsid w:val="00E36203"/>
    <w:rsid w:val="00E3652C"/>
    <w:rsid w:val="00E3700D"/>
    <w:rsid w:val="00E37B94"/>
    <w:rsid w:val="00E40BBD"/>
    <w:rsid w:val="00E41E9A"/>
    <w:rsid w:val="00E420EA"/>
    <w:rsid w:val="00E42250"/>
    <w:rsid w:val="00E42EB2"/>
    <w:rsid w:val="00E437F8"/>
    <w:rsid w:val="00E43A0B"/>
    <w:rsid w:val="00E44DD5"/>
    <w:rsid w:val="00E45FA8"/>
    <w:rsid w:val="00E46749"/>
    <w:rsid w:val="00E46AB2"/>
    <w:rsid w:val="00E5190C"/>
    <w:rsid w:val="00E5220C"/>
    <w:rsid w:val="00E533EC"/>
    <w:rsid w:val="00E550C6"/>
    <w:rsid w:val="00E611BB"/>
    <w:rsid w:val="00E61F4D"/>
    <w:rsid w:val="00E62356"/>
    <w:rsid w:val="00E624EC"/>
    <w:rsid w:val="00E67C9E"/>
    <w:rsid w:val="00E700AE"/>
    <w:rsid w:val="00E703A7"/>
    <w:rsid w:val="00E706DD"/>
    <w:rsid w:val="00E714DB"/>
    <w:rsid w:val="00E718DA"/>
    <w:rsid w:val="00E71B07"/>
    <w:rsid w:val="00E72064"/>
    <w:rsid w:val="00E7273A"/>
    <w:rsid w:val="00E73164"/>
    <w:rsid w:val="00E76D3B"/>
    <w:rsid w:val="00E76E8D"/>
    <w:rsid w:val="00E80B66"/>
    <w:rsid w:val="00E81368"/>
    <w:rsid w:val="00E81FB9"/>
    <w:rsid w:val="00E84119"/>
    <w:rsid w:val="00E84C59"/>
    <w:rsid w:val="00E87F2F"/>
    <w:rsid w:val="00E90FEE"/>
    <w:rsid w:val="00E91080"/>
    <w:rsid w:val="00E916E9"/>
    <w:rsid w:val="00E918BB"/>
    <w:rsid w:val="00E97406"/>
    <w:rsid w:val="00E97F17"/>
    <w:rsid w:val="00EA36D1"/>
    <w:rsid w:val="00EA3BFD"/>
    <w:rsid w:val="00EA3ECE"/>
    <w:rsid w:val="00EA5794"/>
    <w:rsid w:val="00EA5A9B"/>
    <w:rsid w:val="00EB0432"/>
    <w:rsid w:val="00EB0853"/>
    <w:rsid w:val="00EB120C"/>
    <w:rsid w:val="00EB1D8E"/>
    <w:rsid w:val="00EB3CD5"/>
    <w:rsid w:val="00EB5683"/>
    <w:rsid w:val="00EB7274"/>
    <w:rsid w:val="00EB7337"/>
    <w:rsid w:val="00EC1F6D"/>
    <w:rsid w:val="00EC2830"/>
    <w:rsid w:val="00EC4177"/>
    <w:rsid w:val="00EC4F9C"/>
    <w:rsid w:val="00EC6275"/>
    <w:rsid w:val="00EC7DBE"/>
    <w:rsid w:val="00ED2F77"/>
    <w:rsid w:val="00ED33FB"/>
    <w:rsid w:val="00ED4C20"/>
    <w:rsid w:val="00EE51EF"/>
    <w:rsid w:val="00EE6764"/>
    <w:rsid w:val="00EE7FE8"/>
    <w:rsid w:val="00EF1348"/>
    <w:rsid w:val="00EF1B1F"/>
    <w:rsid w:val="00EF2957"/>
    <w:rsid w:val="00EF29E2"/>
    <w:rsid w:val="00EF3636"/>
    <w:rsid w:val="00EF3DF9"/>
    <w:rsid w:val="00EF4B96"/>
    <w:rsid w:val="00EF4F2D"/>
    <w:rsid w:val="00EF6A02"/>
    <w:rsid w:val="00EF6C96"/>
    <w:rsid w:val="00F0092D"/>
    <w:rsid w:val="00F050F3"/>
    <w:rsid w:val="00F05C09"/>
    <w:rsid w:val="00F05C66"/>
    <w:rsid w:val="00F068DF"/>
    <w:rsid w:val="00F07B97"/>
    <w:rsid w:val="00F1072B"/>
    <w:rsid w:val="00F10A37"/>
    <w:rsid w:val="00F11397"/>
    <w:rsid w:val="00F113D4"/>
    <w:rsid w:val="00F11DE9"/>
    <w:rsid w:val="00F1268B"/>
    <w:rsid w:val="00F130B9"/>
    <w:rsid w:val="00F131C9"/>
    <w:rsid w:val="00F139E8"/>
    <w:rsid w:val="00F13B7E"/>
    <w:rsid w:val="00F14E47"/>
    <w:rsid w:val="00F158DA"/>
    <w:rsid w:val="00F20337"/>
    <w:rsid w:val="00F20387"/>
    <w:rsid w:val="00F212AE"/>
    <w:rsid w:val="00F212F3"/>
    <w:rsid w:val="00F21B07"/>
    <w:rsid w:val="00F241E8"/>
    <w:rsid w:val="00F24AD4"/>
    <w:rsid w:val="00F24E13"/>
    <w:rsid w:val="00F25816"/>
    <w:rsid w:val="00F266A1"/>
    <w:rsid w:val="00F26E06"/>
    <w:rsid w:val="00F27B93"/>
    <w:rsid w:val="00F31937"/>
    <w:rsid w:val="00F31E73"/>
    <w:rsid w:val="00F32BED"/>
    <w:rsid w:val="00F32CCC"/>
    <w:rsid w:val="00F34442"/>
    <w:rsid w:val="00F34E9E"/>
    <w:rsid w:val="00F36E15"/>
    <w:rsid w:val="00F37861"/>
    <w:rsid w:val="00F40EB8"/>
    <w:rsid w:val="00F41417"/>
    <w:rsid w:val="00F416B5"/>
    <w:rsid w:val="00F41B7D"/>
    <w:rsid w:val="00F42A05"/>
    <w:rsid w:val="00F42A87"/>
    <w:rsid w:val="00F42B49"/>
    <w:rsid w:val="00F42DBD"/>
    <w:rsid w:val="00F43F71"/>
    <w:rsid w:val="00F45382"/>
    <w:rsid w:val="00F45F81"/>
    <w:rsid w:val="00F461DC"/>
    <w:rsid w:val="00F474BB"/>
    <w:rsid w:val="00F47EE9"/>
    <w:rsid w:val="00F5174C"/>
    <w:rsid w:val="00F51EDD"/>
    <w:rsid w:val="00F5330F"/>
    <w:rsid w:val="00F5353C"/>
    <w:rsid w:val="00F54008"/>
    <w:rsid w:val="00F57289"/>
    <w:rsid w:val="00F57E86"/>
    <w:rsid w:val="00F57F3A"/>
    <w:rsid w:val="00F617C8"/>
    <w:rsid w:val="00F61C50"/>
    <w:rsid w:val="00F6384F"/>
    <w:rsid w:val="00F63948"/>
    <w:rsid w:val="00F63B3B"/>
    <w:rsid w:val="00F670C5"/>
    <w:rsid w:val="00F67D7B"/>
    <w:rsid w:val="00F70060"/>
    <w:rsid w:val="00F7121E"/>
    <w:rsid w:val="00F717E2"/>
    <w:rsid w:val="00F71DB2"/>
    <w:rsid w:val="00F71FB8"/>
    <w:rsid w:val="00F73F6E"/>
    <w:rsid w:val="00F75167"/>
    <w:rsid w:val="00F75DCA"/>
    <w:rsid w:val="00F7629D"/>
    <w:rsid w:val="00F82676"/>
    <w:rsid w:val="00F83B10"/>
    <w:rsid w:val="00F84AB5"/>
    <w:rsid w:val="00F84D4A"/>
    <w:rsid w:val="00F84D66"/>
    <w:rsid w:val="00F87652"/>
    <w:rsid w:val="00F90879"/>
    <w:rsid w:val="00F90E94"/>
    <w:rsid w:val="00F9191A"/>
    <w:rsid w:val="00F946A0"/>
    <w:rsid w:val="00F94FDD"/>
    <w:rsid w:val="00F959C6"/>
    <w:rsid w:val="00F968BE"/>
    <w:rsid w:val="00F977BB"/>
    <w:rsid w:val="00FA0287"/>
    <w:rsid w:val="00FA0756"/>
    <w:rsid w:val="00FA14A2"/>
    <w:rsid w:val="00FA1EDE"/>
    <w:rsid w:val="00FA211E"/>
    <w:rsid w:val="00FA3D64"/>
    <w:rsid w:val="00FA4A13"/>
    <w:rsid w:val="00FA5A1E"/>
    <w:rsid w:val="00FA5B12"/>
    <w:rsid w:val="00FA5BFF"/>
    <w:rsid w:val="00FA671E"/>
    <w:rsid w:val="00FA7378"/>
    <w:rsid w:val="00FA7F9D"/>
    <w:rsid w:val="00FB05B9"/>
    <w:rsid w:val="00FB17F0"/>
    <w:rsid w:val="00FB24E2"/>
    <w:rsid w:val="00FB4BF7"/>
    <w:rsid w:val="00FB584B"/>
    <w:rsid w:val="00FB62CC"/>
    <w:rsid w:val="00FB69B2"/>
    <w:rsid w:val="00FC2452"/>
    <w:rsid w:val="00FC246A"/>
    <w:rsid w:val="00FC6174"/>
    <w:rsid w:val="00FC62B6"/>
    <w:rsid w:val="00FC7065"/>
    <w:rsid w:val="00FD0B3B"/>
    <w:rsid w:val="00FD1754"/>
    <w:rsid w:val="00FD2D7C"/>
    <w:rsid w:val="00FD4083"/>
    <w:rsid w:val="00FD57E6"/>
    <w:rsid w:val="00FD5FB1"/>
    <w:rsid w:val="00FD7A04"/>
    <w:rsid w:val="00FE0DE3"/>
    <w:rsid w:val="00FE24C4"/>
    <w:rsid w:val="00FE3978"/>
    <w:rsid w:val="00FE3AEE"/>
    <w:rsid w:val="00FE3D45"/>
    <w:rsid w:val="00FE7127"/>
    <w:rsid w:val="00FF02FA"/>
    <w:rsid w:val="00FF104D"/>
    <w:rsid w:val="00FF212B"/>
    <w:rsid w:val="00FF23E9"/>
    <w:rsid w:val="00FF358C"/>
    <w:rsid w:val="00FF36F3"/>
    <w:rsid w:val="00FF3FC4"/>
    <w:rsid w:val="00FF47C3"/>
    <w:rsid w:val="00FF4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7C1B4"/>
  <w15:docId w15:val="{2F8FCD32-88EF-4610-9DA1-C9D02838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6CF"/>
    <w:rPr>
      <w:rFonts w:ascii="Segoe UI" w:hAnsi="Segoe UI"/>
      <w:sz w:val="22"/>
    </w:rPr>
  </w:style>
  <w:style w:type="paragraph" w:styleId="Heading1">
    <w:name w:val="heading 1"/>
    <w:basedOn w:val="Normal"/>
    <w:next w:val="Normal"/>
    <w:link w:val="Heading1Char"/>
    <w:qFormat/>
    <w:rsid w:val="000C46CF"/>
    <w:pPr>
      <w:keepNext/>
      <w:ind w:right="216"/>
      <w:outlineLvl w:val="0"/>
    </w:pPr>
    <w:rPr>
      <w:rFonts w:eastAsiaTheme="majorEastAsia" w:cstheme="majorBidi"/>
      <w:b/>
      <w:caps/>
      <w:sz w:val="28"/>
      <w:szCs w:val="28"/>
      <w:u w:val="single"/>
    </w:rPr>
  </w:style>
  <w:style w:type="paragraph" w:styleId="Heading2">
    <w:name w:val="heading 2"/>
    <w:basedOn w:val="Normal"/>
    <w:next w:val="Normal"/>
    <w:link w:val="Heading2Char"/>
    <w:qFormat/>
    <w:rsid w:val="000C46CF"/>
    <w:pPr>
      <w:keepNext/>
      <w:tabs>
        <w:tab w:val="left" w:pos="360"/>
      </w:tabs>
      <w:outlineLvl w:val="1"/>
    </w:pPr>
    <w:rPr>
      <w:rFonts w:eastAsiaTheme="majorEastAsia" w:cs="Arial"/>
      <w:b/>
      <w:sz w:val="24"/>
    </w:rPr>
  </w:style>
  <w:style w:type="paragraph" w:styleId="Heading3">
    <w:name w:val="heading 3"/>
    <w:basedOn w:val="Normal"/>
    <w:next w:val="Normal"/>
    <w:link w:val="Heading3Char"/>
    <w:qFormat/>
    <w:rsid w:val="004C112A"/>
    <w:pPr>
      <w:ind w:left="360"/>
      <w:outlineLvl w:val="2"/>
    </w:pPr>
    <w:rPr>
      <w:rFonts w:eastAsiaTheme="majorEastAsia" w:cs="Arial"/>
      <w:b/>
    </w:rPr>
  </w:style>
  <w:style w:type="paragraph" w:styleId="Heading4">
    <w:name w:val="heading 4"/>
    <w:basedOn w:val="Normal"/>
    <w:next w:val="Normal"/>
    <w:link w:val="Heading4Char"/>
    <w:qFormat/>
    <w:rsid w:val="000B21E8"/>
    <w:pPr>
      <w:keepNext/>
      <w:ind w:left="360"/>
      <w:outlineLvl w:val="3"/>
    </w:pPr>
    <w:rPr>
      <w:rFonts w:eastAsiaTheme="majorEastAsia" w:cstheme="majorBidi"/>
      <w:u w:val="single"/>
    </w:rPr>
  </w:style>
  <w:style w:type="paragraph" w:styleId="Heading5">
    <w:name w:val="heading 5"/>
    <w:basedOn w:val="Normal"/>
    <w:next w:val="Normal"/>
    <w:link w:val="Heading5Char"/>
    <w:qFormat/>
    <w:rsid w:val="00417750"/>
    <w:pPr>
      <w:spacing w:before="240" w:after="60"/>
      <w:outlineLvl w:val="4"/>
    </w:pPr>
  </w:style>
  <w:style w:type="paragraph" w:styleId="Heading6">
    <w:name w:val="heading 6"/>
    <w:basedOn w:val="Normal"/>
    <w:next w:val="Normal"/>
    <w:link w:val="Heading6Char"/>
    <w:qFormat/>
    <w:rsid w:val="00417750"/>
    <w:pPr>
      <w:spacing w:before="240" w:after="60"/>
      <w:outlineLvl w:val="5"/>
    </w:pPr>
    <w:rPr>
      <w:rFonts w:ascii="Times New Roman" w:hAnsi="Times New Roman"/>
      <w:i/>
    </w:rPr>
  </w:style>
  <w:style w:type="paragraph" w:styleId="Heading7">
    <w:name w:val="heading 7"/>
    <w:basedOn w:val="Normal"/>
    <w:next w:val="Normal"/>
    <w:link w:val="Heading7Char"/>
    <w:qFormat/>
    <w:rsid w:val="00417750"/>
    <w:pPr>
      <w:spacing w:before="240" w:after="60"/>
      <w:outlineLvl w:val="6"/>
    </w:pPr>
    <w:rPr>
      <w:sz w:val="20"/>
    </w:rPr>
  </w:style>
  <w:style w:type="paragraph" w:styleId="Heading8">
    <w:name w:val="heading 8"/>
    <w:basedOn w:val="Normal"/>
    <w:next w:val="Normal"/>
    <w:link w:val="Heading8Char"/>
    <w:qFormat/>
    <w:rsid w:val="00417750"/>
    <w:pPr>
      <w:spacing w:before="240" w:after="60"/>
      <w:outlineLvl w:val="7"/>
    </w:pPr>
    <w:rPr>
      <w:i/>
      <w:sz w:val="20"/>
    </w:rPr>
  </w:style>
  <w:style w:type="paragraph" w:styleId="Heading9">
    <w:name w:val="heading 9"/>
    <w:basedOn w:val="Normal"/>
    <w:next w:val="Normal"/>
    <w:link w:val="Heading9Char"/>
    <w:qFormat/>
    <w:rsid w:val="00417750"/>
    <w:pPr>
      <w:spacing w:before="240" w:after="60"/>
      <w:outlineLvl w:val="8"/>
    </w:pPr>
    <w:rPr>
      <w:rFonts w:cs="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4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7750"/>
    <w:pPr>
      <w:ind w:left="720"/>
    </w:pPr>
  </w:style>
  <w:style w:type="character" w:customStyle="1" w:styleId="Heading1Char">
    <w:name w:val="Heading 1 Char"/>
    <w:basedOn w:val="DefaultParagraphFont"/>
    <w:link w:val="Heading1"/>
    <w:rsid w:val="000C46CF"/>
    <w:rPr>
      <w:rFonts w:ascii="Segoe UI" w:eastAsiaTheme="majorEastAsia" w:hAnsi="Segoe UI" w:cstheme="majorBidi"/>
      <w:b/>
      <w:caps/>
      <w:sz w:val="28"/>
      <w:szCs w:val="28"/>
      <w:u w:val="single"/>
    </w:rPr>
  </w:style>
  <w:style w:type="character" w:customStyle="1" w:styleId="Heading2Char">
    <w:name w:val="Heading 2 Char"/>
    <w:basedOn w:val="DefaultParagraphFont"/>
    <w:link w:val="Heading2"/>
    <w:rsid w:val="000C46CF"/>
    <w:rPr>
      <w:rFonts w:ascii="Segoe UI" w:eastAsiaTheme="majorEastAsia" w:hAnsi="Segoe UI" w:cs="Arial"/>
      <w:b/>
      <w:sz w:val="24"/>
    </w:rPr>
  </w:style>
  <w:style w:type="character" w:customStyle="1" w:styleId="Heading3Char">
    <w:name w:val="Heading 3 Char"/>
    <w:basedOn w:val="DefaultParagraphFont"/>
    <w:link w:val="Heading3"/>
    <w:rsid w:val="004C112A"/>
    <w:rPr>
      <w:rFonts w:ascii="Segoe UI" w:eastAsiaTheme="majorEastAsia" w:hAnsi="Segoe UI" w:cs="Arial"/>
      <w:b/>
      <w:sz w:val="22"/>
    </w:rPr>
  </w:style>
  <w:style w:type="paragraph" w:styleId="FootnoteText">
    <w:name w:val="footnote text"/>
    <w:basedOn w:val="Normal"/>
    <w:link w:val="FootnoteTextChar"/>
    <w:semiHidden/>
    <w:unhideWhenUsed/>
    <w:rsid w:val="00061BC2"/>
    <w:rPr>
      <w:rFonts w:ascii="Times New Roman" w:hAnsi="Times New Roman"/>
    </w:rPr>
  </w:style>
  <w:style w:type="character" w:customStyle="1" w:styleId="FootnoteTextChar">
    <w:name w:val="Footnote Text Char"/>
    <w:basedOn w:val="DefaultParagraphFont"/>
    <w:link w:val="FootnoteText"/>
    <w:semiHidden/>
    <w:rsid w:val="00061BC2"/>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061BC2"/>
    <w:rPr>
      <w:vertAlign w:val="superscript"/>
    </w:rPr>
  </w:style>
  <w:style w:type="character" w:customStyle="1" w:styleId="Heading4Char">
    <w:name w:val="Heading 4 Char"/>
    <w:basedOn w:val="DefaultParagraphFont"/>
    <w:link w:val="Heading4"/>
    <w:rsid w:val="000B21E8"/>
    <w:rPr>
      <w:rFonts w:ascii="Arial" w:eastAsiaTheme="majorEastAsia" w:hAnsi="Arial" w:cstheme="majorBidi"/>
      <w:sz w:val="22"/>
      <w:u w:val="single"/>
    </w:rPr>
  </w:style>
  <w:style w:type="paragraph" w:styleId="BalloonText">
    <w:name w:val="Balloon Text"/>
    <w:basedOn w:val="Normal"/>
    <w:link w:val="BalloonTextChar"/>
    <w:uiPriority w:val="99"/>
    <w:semiHidden/>
    <w:unhideWhenUsed/>
    <w:rsid w:val="003B6F0B"/>
    <w:rPr>
      <w:rFonts w:ascii="Tahoma" w:hAnsi="Tahoma" w:cs="Tahoma"/>
      <w:sz w:val="16"/>
      <w:szCs w:val="16"/>
    </w:rPr>
  </w:style>
  <w:style w:type="character" w:customStyle="1" w:styleId="BalloonTextChar">
    <w:name w:val="Balloon Text Char"/>
    <w:basedOn w:val="DefaultParagraphFont"/>
    <w:link w:val="BalloonText"/>
    <w:uiPriority w:val="99"/>
    <w:semiHidden/>
    <w:rsid w:val="003B6F0B"/>
    <w:rPr>
      <w:rFonts w:ascii="Tahoma" w:hAnsi="Tahoma" w:cs="Tahoma"/>
      <w:sz w:val="16"/>
      <w:szCs w:val="16"/>
    </w:rPr>
  </w:style>
  <w:style w:type="character" w:styleId="CommentReference">
    <w:name w:val="annotation reference"/>
    <w:basedOn w:val="DefaultParagraphFont"/>
    <w:uiPriority w:val="99"/>
    <w:semiHidden/>
    <w:unhideWhenUsed/>
    <w:rsid w:val="00685C5F"/>
    <w:rPr>
      <w:sz w:val="16"/>
      <w:szCs w:val="16"/>
    </w:rPr>
  </w:style>
  <w:style w:type="paragraph" w:styleId="CommentText">
    <w:name w:val="annotation text"/>
    <w:basedOn w:val="Normal"/>
    <w:link w:val="CommentTextChar"/>
    <w:uiPriority w:val="99"/>
    <w:unhideWhenUsed/>
    <w:rsid w:val="00685C5F"/>
  </w:style>
  <w:style w:type="character" w:customStyle="1" w:styleId="CommentTextChar">
    <w:name w:val="Comment Text Char"/>
    <w:basedOn w:val="DefaultParagraphFont"/>
    <w:link w:val="CommentText"/>
    <w:uiPriority w:val="99"/>
    <w:rsid w:val="00685C5F"/>
    <w:rPr>
      <w:rFonts w:ascii="Tw Cen MT" w:hAnsi="Tw Cen MT"/>
      <w:sz w:val="20"/>
      <w:szCs w:val="20"/>
    </w:rPr>
  </w:style>
  <w:style w:type="paragraph" w:styleId="CommentSubject">
    <w:name w:val="annotation subject"/>
    <w:basedOn w:val="CommentText"/>
    <w:next w:val="CommentText"/>
    <w:link w:val="CommentSubjectChar"/>
    <w:uiPriority w:val="99"/>
    <w:semiHidden/>
    <w:unhideWhenUsed/>
    <w:rsid w:val="00685C5F"/>
    <w:rPr>
      <w:b/>
      <w:bCs/>
    </w:rPr>
  </w:style>
  <w:style w:type="character" w:customStyle="1" w:styleId="CommentSubjectChar">
    <w:name w:val="Comment Subject Char"/>
    <w:basedOn w:val="CommentTextChar"/>
    <w:link w:val="CommentSubject"/>
    <w:uiPriority w:val="99"/>
    <w:semiHidden/>
    <w:rsid w:val="00685C5F"/>
    <w:rPr>
      <w:rFonts w:ascii="Tw Cen MT" w:hAnsi="Tw Cen MT"/>
      <w:b/>
      <w:bCs/>
      <w:sz w:val="20"/>
      <w:szCs w:val="20"/>
    </w:rPr>
  </w:style>
  <w:style w:type="paragraph" w:styleId="Revision">
    <w:name w:val="Revision"/>
    <w:hidden/>
    <w:uiPriority w:val="99"/>
    <w:semiHidden/>
    <w:rsid w:val="000509E3"/>
    <w:rPr>
      <w:rFonts w:ascii="Tw Cen MT" w:hAnsi="Tw Cen MT"/>
    </w:rPr>
  </w:style>
  <w:style w:type="paragraph" w:styleId="Header">
    <w:name w:val="header"/>
    <w:basedOn w:val="Normal"/>
    <w:link w:val="HeaderChar"/>
    <w:uiPriority w:val="99"/>
    <w:unhideWhenUsed/>
    <w:rsid w:val="00E178B3"/>
    <w:pPr>
      <w:tabs>
        <w:tab w:val="center" w:pos="4680"/>
        <w:tab w:val="right" w:pos="9360"/>
      </w:tabs>
    </w:pPr>
  </w:style>
  <w:style w:type="character" w:customStyle="1" w:styleId="HeaderChar">
    <w:name w:val="Header Char"/>
    <w:basedOn w:val="DefaultParagraphFont"/>
    <w:link w:val="Header"/>
    <w:uiPriority w:val="99"/>
    <w:rsid w:val="00E178B3"/>
    <w:rPr>
      <w:rFonts w:ascii="Tw Cen MT" w:hAnsi="Tw Cen MT"/>
      <w:sz w:val="20"/>
    </w:rPr>
  </w:style>
  <w:style w:type="paragraph" w:styleId="Footer">
    <w:name w:val="footer"/>
    <w:basedOn w:val="Normal"/>
    <w:link w:val="FooterChar"/>
    <w:uiPriority w:val="99"/>
    <w:unhideWhenUsed/>
    <w:rsid w:val="00E178B3"/>
    <w:pPr>
      <w:tabs>
        <w:tab w:val="center" w:pos="4680"/>
        <w:tab w:val="right" w:pos="9360"/>
      </w:tabs>
    </w:pPr>
  </w:style>
  <w:style w:type="character" w:customStyle="1" w:styleId="FooterChar">
    <w:name w:val="Footer Char"/>
    <w:basedOn w:val="DefaultParagraphFont"/>
    <w:link w:val="Footer"/>
    <w:uiPriority w:val="99"/>
    <w:rsid w:val="00E178B3"/>
    <w:rPr>
      <w:rFonts w:ascii="Tw Cen MT" w:hAnsi="Tw Cen MT"/>
      <w:sz w:val="20"/>
    </w:rPr>
  </w:style>
  <w:style w:type="paragraph" w:customStyle="1" w:styleId="TOC2regularfont">
    <w:name w:val="TOC 2 regular font"/>
    <w:basedOn w:val="TOC2"/>
    <w:qFormat/>
    <w:rsid w:val="00417750"/>
    <w:pPr>
      <w:tabs>
        <w:tab w:val="right" w:leader="dot" w:pos="9350"/>
      </w:tabs>
      <w:spacing w:after="0"/>
      <w:ind w:left="0"/>
    </w:pPr>
    <w:rPr>
      <w:iCs/>
    </w:rPr>
  </w:style>
  <w:style w:type="paragraph" w:styleId="TOC2">
    <w:name w:val="toc 2"/>
    <w:basedOn w:val="Normal"/>
    <w:next w:val="Normal"/>
    <w:autoRedefine/>
    <w:uiPriority w:val="39"/>
    <w:semiHidden/>
    <w:unhideWhenUsed/>
    <w:rsid w:val="00417750"/>
    <w:pPr>
      <w:spacing w:after="100"/>
      <w:ind w:left="200"/>
    </w:pPr>
  </w:style>
  <w:style w:type="character" w:customStyle="1" w:styleId="Heading5Char">
    <w:name w:val="Heading 5 Char"/>
    <w:basedOn w:val="DefaultParagraphFont"/>
    <w:link w:val="Heading5"/>
    <w:rsid w:val="00417750"/>
    <w:rPr>
      <w:rFonts w:ascii="Arial" w:hAnsi="Arial"/>
      <w:sz w:val="22"/>
    </w:rPr>
  </w:style>
  <w:style w:type="character" w:customStyle="1" w:styleId="Heading6Char">
    <w:name w:val="Heading 6 Char"/>
    <w:basedOn w:val="DefaultParagraphFont"/>
    <w:link w:val="Heading6"/>
    <w:rsid w:val="00417750"/>
    <w:rPr>
      <w:i/>
      <w:sz w:val="22"/>
    </w:rPr>
  </w:style>
  <w:style w:type="character" w:customStyle="1" w:styleId="Heading7Char">
    <w:name w:val="Heading 7 Char"/>
    <w:basedOn w:val="DefaultParagraphFont"/>
    <w:link w:val="Heading7"/>
    <w:rsid w:val="00417750"/>
    <w:rPr>
      <w:rFonts w:ascii="Arial" w:hAnsi="Arial"/>
    </w:rPr>
  </w:style>
  <w:style w:type="character" w:customStyle="1" w:styleId="Heading8Char">
    <w:name w:val="Heading 8 Char"/>
    <w:basedOn w:val="DefaultParagraphFont"/>
    <w:link w:val="Heading8"/>
    <w:rsid w:val="00417750"/>
    <w:rPr>
      <w:rFonts w:ascii="Arial" w:hAnsi="Arial"/>
      <w:i/>
    </w:rPr>
  </w:style>
  <w:style w:type="character" w:customStyle="1" w:styleId="Heading9Char">
    <w:name w:val="Heading 9 Char"/>
    <w:basedOn w:val="DefaultParagraphFont"/>
    <w:link w:val="Heading9"/>
    <w:rsid w:val="00417750"/>
    <w:rPr>
      <w:rFonts w:ascii="Arial" w:hAnsi="Arial" w:cs="Arial"/>
      <w:b/>
      <w:i/>
      <w:sz w:val="18"/>
    </w:rPr>
  </w:style>
  <w:style w:type="paragraph" w:styleId="Caption">
    <w:name w:val="caption"/>
    <w:basedOn w:val="Normal"/>
    <w:next w:val="Normal"/>
    <w:qFormat/>
    <w:rsid w:val="00417750"/>
    <w:pPr>
      <w:spacing w:before="120" w:after="120"/>
    </w:pPr>
    <w:rPr>
      <w:b/>
      <w:bCs/>
      <w:sz w:val="20"/>
    </w:rPr>
  </w:style>
  <w:style w:type="paragraph" w:styleId="Title">
    <w:name w:val="Title"/>
    <w:basedOn w:val="Normal"/>
    <w:link w:val="TitleChar"/>
    <w:qFormat/>
    <w:rsid w:val="00417750"/>
    <w:pPr>
      <w:ind w:right="220"/>
      <w:jc w:val="center"/>
    </w:pPr>
    <w:rPr>
      <w:b/>
      <w:sz w:val="32"/>
      <w:u w:val="single"/>
    </w:rPr>
  </w:style>
  <w:style w:type="character" w:customStyle="1" w:styleId="TitleChar">
    <w:name w:val="Title Char"/>
    <w:basedOn w:val="DefaultParagraphFont"/>
    <w:link w:val="Title"/>
    <w:rsid w:val="00417750"/>
    <w:rPr>
      <w:rFonts w:ascii="Arial" w:hAnsi="Arial"/>
      <w:b/>
      <w:sz w:val="32"/>
      <w:u w:val="single"/>
    </w:rPr>
  </w:style>
  <w:style w:type="paragraph" w:styleId="Subtitle">
    <w:name w:val="Subtitle"/>
    <w:basedOn w:val="Normal"/>
    <w:link w:val="SubtitleChar"/>
    <w:qFormat/>
    <w:rsid w:val="00417750"/>
    <w:pPr>
      <w:spacing w:after="60"/>
      <w:jc w:val="center"/>
      <w:outlineLvl w:val="1"/>
    </w:pPr>
    <w:rPr>
      <w:rFonts w:cs="Arial"/>
      <w:sz w:val="24"/>
      <w:szCs w:val="24"/>
    </w:rPr>
  </w:style>
  <w:style w:type="character" w:customStyle="1" w:styleId="SubtitleChar">
    <w:name w:val="Subtitle Char"/>
    <w:basedOn w:val="DefaultParagraphFont"/>
    <w:link w:val="Subtitle"/>
    <w:rsid w:val="00417750"/>
    <w:rPr>
      <w:rFonts w:ascii="Arial" w:hAnsi="Arial" w:cs="Arial"/>
      <w:sz w:val="24"/>
      <w:szCs w:val="24"/>
    </w:rPr>
  </w:style>
  <w:style w:type="character" w:styleId="Strong">
    <w:name w:val="Strong"/>
    <w:basedOn w:val="DefaultParagraphFont"/>
    <w:qFormat/>
    <w:rsid w:val="00417750"/>
    <w:rPr>
      <w:b/>
      <w:bCs/>
    </w:rPr>
  </w:style>
  <w:style w:type="character" w:styleId="Emphasis">
    <w:name w:val="Emphasis"/>
    <w:basedOn w:val="DefaultParagraphFont"/>
    <w:uiPriority w:val="20"/>
    <w:qFormat/>
    <w:rsid w:val="00417750"/>
    <w:rPr>
      <w:i/>
      <w:iCs/>
    </w:rPr>
  </w:style>
  <w:style w:type="character" w:styleId="Hyperlink">
    <w:name w:val="Hyperlink"/>
    <w:basedOn w:val="DefaultParagraphFont"/>
    <w:uiPriority w:val="99"/>
    <w:unhideWhenUsed/>
    <w:rsid w:val="007E4481"/>
    <w:rPr>
      <w:color w:val="0000FF" w:themeColor="hyperlink"/>
      <w:u w:val="single"/>
    </w:rPr>
  </w:style>
  <w:style w:type="paragraph" w:styleId="TOC1">
    <w:name w:val="toc 1"/>
    <w:basedOn w:val="Normal"/>
    <w:next w:val="Normal"/>
    <w:autoRedefine/>
    <w:uiPriority w:val="39"/>
    <w:unhideWhenUsed/>
    <w:rsid w:val="00A7578B"/>
    <w:pPr>
      <w:tabs>
        <w:tab w:val="right" w:leader="dot" w:pos="9350"/>
      </w:tabs>
      <w:spacing w:before="120"/>
    </w:pPr>
    <w:rPr>
      <w:b/>
      <w:caps/>
    </w:rPr>
  </w:style>
  <w:style w:type="table" w:customStyle="1" w:styleId="TableGrid1">
    <w:name w:val="Table Grid1"/>
    <w:basedOn w:val="TableNormal"/>
    <w:next w:val="TableGrid"/>
    <w:uiPriority w:val="59"/>
    <w:rsid w:val="00C64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C640C4"/>
    <w:pPr>
      <w:autoSpaceDE w:val="0"/>
      <w:autoSpaceDN w:val="0"/>
      <w:adjustRightInd w:val="0"/>
      <w:spacing w:line="201" w:lineRule="atLeast"/>
    </w:pPr>
    <w:rPr>
      <w:rFonts w:ascii="Apollo MT Std" w:eastAsiaTheme="minorHAnsi" w:hAnsi="Apollo MT Std" w:cstheme="minorBidi"/>
      <w:sz w:val="24"/>
      <w:szCs w:val="24"/>
    </w:rPr>
  </w:style>
  <w:style w:type="paragraph" w:customStyle="1" w:styleId="Default">
    <w:name w:val="Default"/>
    <w:rsid w:val="00C640C4"/>
    <w:pPr>
      <w:autoSpaceDE w:val="0"/>
      <w:autoSpaceDN w:val="0"/>
      <w:adjustRightInd w:val="0"/>
    </w:pPr>
    <w:rPr>
      <w:rFonts w:ascii="Futura Std Book" w:eastAsiaTheme="minorHAnsi" w:hAnsi="Futura Std Book" w:cs="Futura Std Book"/>
      <w:color w:val="000000"/>
      <w:sz w:val="24"/>
      <w:szCs w:val="24"/>
    </w:rPr>
  </w:style>
  <w:style w:type="table" w:customStyle="1" w:styleId="TableGrid11">
    <w:name w:val="Table Grid11"/>
    <w:basedOn w:val="TableNormal"/>
    <w:next w:val="TableGrid"/>
    <w:uiPriority w:val="59"/>
    <w:rsid w:val="007C6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3B20"/>
    <w:rPr>
      <w:rFonts w:asciiTheme="minorHAnsi" w:eastAsiaTheme="minorHAnsi" w:hAnsiTheme="minorHAnsi" w:cstheme="minorBidi"/>
      <w:sz w:val="22"/>
      <w:szCs w:val="22"/>
    </w:rPr>
  </w:style>
  <w:style w:type="paragraph" w:customStyle="1" w:styleId="TableParagraph">
    <w:name w:val="Table Paragraph"/>
    <w:basedOn w:val="Normal"/>
    <w:uiPriority w:val="1"/>
    <w:qFormat/>
    <w:rsid w:val="00F32CCC"/>
    <w:pPr>
      <w:widowControl w:val="0"/>
      <w:autoSpaceDE w:val="0"/>
      <w:autoSpaceDN w:val="0"/>
    </w:pPr>
    <w:rPr>
      <w:rFonts w:ascii="Times New Roman" w:hAnsi="Times New Roman"/>
      <w:szCs w:val="22"/>
    </w:rPr>
  </w:style>
  <w:style w:type="character" w:styleId="FollowedHyperlink">
    <w:name w:val="FollowedHyperlink"/>
    <w:basedOn w:val="DefaultParagraphFont"/>
    <w:uiPriority w:val="99"/>
    <w:semiHidden/>
    <w:unhideWhenUsed/>
    <w:rsid w:val="00167540"/>
    <w:rPr>
      <w:color w:val="800080" w:themeColor="followedHyperlink"/>
      <w:u w:val="single"/>
    </w:rPr>
  </w:style>
  <w:style w:type="paragraph" w:styleId="NormalWeb">
    <w:name w:val="Normal (Web)"/>
    <w:basedOn w:val="Normal"/>
    <w:uiPriority w:val="99"/>
    <w:semiHidden/>
    <w:unhideWhenUsed/>
    <w:rsid w:val="00333256"/>
    <w:pPr>
      <w:spacing w:before="100" w:beforeAutospacing="1" w:after="100" w:afterAutospacing="1"/>
    </w:pPr>
    <w:rPr>
      <w:rFonts w:ascii="Times New Roman" w:hAnsi="Times New Roman"/>
      <w:sz w:val="24"/>
      <w:szCs w:val="24"/>
    </w:rPr>
  </w:style>
  <w:style w:type="character" w:customStyle="1" w:styleId="UnresolvedMention1">
    <w:name w:val="Unresolved Mention1"/>
    <w:basedOn w:val="DefaultParagraphFont"/>
    <w:uiPriority w:val="99"/>
    <w:semiHidden/>
    <w:unhideWhenUsed/>
    <w:rsid w:val="00EC7DBE"/>
    <w:rPr>
      <w:color w:val="605E5C"/>
      <w:shd w:val="clear" w:color="auto" w:fill="E1DFDD"/>
    </w:rPr>
  </w:style>
  <w:style w:type="character" w:styleId="UnresolvedMention">
    <w:name w:val="Unresolved Mention"/>
    <w:basedOn w:val="DefaultParagraphFont"/>
    <w:uiPriority w:val="99"/>
    <w:semiHidden/>
    <w:unhideWhenUsed/>
    <w:rsid w:val="00673CD2"/>
    <w:rPr>
      <w:color w:val="605E5C"/>
      <w:shd w:val="clear" w:color="auto" w:fill="E1DFDD"/>
    </w:rPr>
  </w:style>
  <w:style w:type="paragraph" w:customStyle="1" w:styleId="indent1">
    <w:name w:val="indent1"/>
    <w:basedOn w:val="Normal"/>
    <w:rsid w:val="003F1447"/>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4288">
      <w:bodyDiv w:val="1"/>
      <w:marLeft w:val="0"/>
      <w:marRight w:val="0"/>
      <w:marTop w:val="0"/>
      <w:marBottom w:val="0"/>
      <w:divBdr>
        <w:top w:val="none" w:sz="0" w:space="0" w:color="auto"/>
        <w:left w:val="none" w:sz="0" w:space="0" w:color="auto"/>
        <w:bottom w:val="none" w:sz="0" w:space="0" w:color="auto"/>
        <w:right w:val="none" w:sz="0" w:space="0" w:color="auto"/>
      </w:divBdr>
    </w:div>
    <w:div w:id="9308042">
      <w:bodyDiv w:val="1"/>
      <w:marLeft w:val="0"/>
      <w:marRight w:val="0"/>
      <w:marTop w:val="0"/>
      <w:marBottom w:val="0"/>
      <w:divBdr>
        <w:top w:val="none" w:sz="0" w:space="0" w:color="auto"/>
        <w:left w:val="none" w:sz="0" w:space="0" w:color="auto"/>
        <w:bottom w:val="none" w:sz="0" w:space="0" w:color="auto"/>
        <w:right w:val="none" w:sz="0" w:space="0" w:color="auto"/>
      </w:divBdr>
    </w:div>
    <w:div w:id="60060821">
      <w:bodyDiv w:val="1"/>
      <w:marLeft w:val="0"/>
      <w:marRight w:val="0"/>
      <w:marTop w:val="0"/>
      <w:marBottom w:val="0"/>
      <w:divBdr>
        <w:top w:val="none" w:sz="0" w:space="0" w:color="auto"/>
        <w:left w:val="none" w:sz="0" w:space="0" w:color="auto"/>
        <w:bottom w:val="none" w:sz="0" w:space="0" w:color="auto"/>
        <w:right w:val="none" w:sz="0" w:space="0" w:color="auto"/>
      </w:divBdr>
    </w:div>
    <w:div w:id="67267708">
      <w:bodyDiv w:val="1"/>
      <w:marLeft w:val="0"/>
      <w:marRight w:val="0"/>
      <w:marTop w:val="0"/>
      <w:marBottom w:val="0"/>
      <w:divBdr>
        <w:top w:val="none" w:sz="0" w:space="0" w:color="auto"/>
        <w:left w:val="none" w:sz="0" w:space="0" w:color="auto"/>
        <w:bottom w:val="none" w:sz="0" w:space="0" w:color="auto"/>
        <w:right w:val="none" w:sz="0" w:space="0" w:color="auto"/>
      </w:divBdr>
    </w:div>
    <w:div w:id="111484667">
      <w:bodyDiv w:val="1"/>
      <w:marLeft w:val="0"/>
      <w:marRight w:val="0"/>
      <w:marTop w:val="0"/>
      <w:marBottom w:val="0"/>
      <w:divBdr>
        <w:top w:val="none" w:sz="0" w:space="0" w:color="auto"/>
        <w:left w:val="none" w:sz="0" w:space="0" w:color="auto"/>
        <w:bottom w:val="none" w:sz="0" w:space="0" w:color="auto"/>
        <w:right w:val="none" w:sz="0" w:space="0" w:color="auto"/>
      </w:divBdr>
    </w:div>
    <w:div w:id="142964729">
      <w:bodyDiv w:val="1"/>
      <w:marLeft w:val="0"/>
      <w:marRight w:val="0"/>
      <w:marTop w:val="0"/>
      <w:marBottom w:val="0"/>
      <w:divBdr>
        <w:top w:val="none" w:sz="0" w:space="0" w:color="auto"/>
        <w:left w:val="none" w:sz="0" w:space="0" w:color="auto"/>
        <w:bottom w:val="none" w:sz="0" w:space="0" w:color="auto"/>
        <w:right w:val="none" w:sz="0" w:space="0" w:color="auto"/>
      </w:divBdr>
    </w:div>
    <w:div w:id="145513591">
      <w:bodyDiv w:val="1"/>
      <w:marLeft w:val="0"/>
      <w:marRight w:val="0"/>
      <w:marTop w:val="0"/>
      <w:marBottom w:val="0"/>
      <w:divBdr>
        <w:top w:val="none" w:sz="0" w:space="0" w:color="auto"/>
        <w:left w:val="none" w:sz="0" w:space="0" w:color="auto"/>
        <w:bottom w:val="none" w:sz="0" w:space="0" w:color="auto"/>
        <w:right w:val="none" w:sz="0" w:space="0" w:color="auto"/>
      </w:divBdr>
    </w:div>
    <w:div w:id="146367292">
      <w:bodyDiv w:val="1"/>
      <w:marLeft w:val="0"/>
      <w:marRight w:val="0"/>
      <w:marTop w:val="0"/>
      <w:marBottom w:val="0"/>
      <w:divBdr>
        <w:top w:val="none" w:sz="0" w:space="0" w:color="auto"/>
        <w:left w:val="none" w:sz="0" w:space="0" w:color="auto"/>
        <w:bottom w:val="none" w:sz="0" w:space="0" w:color="auto"/>
        <w:right w:val="none" w:sz="0" w:space="0" w:color="auto"/>
      </w:divBdr>
    </w:div>
    <w:div w:id="172302571">
      <w:bodyDiv w:val="1"/>
      <w:marLeft w:val="0"/>
      <w:marRight w:val="0"/>
      <w:marTop w:val="0"/>
      <w:marBottom w:val="0"/>
      <w:divBdr>
        <w:top w:val="none" w:sz="0" w:space="0" w:color="auto"/>
        <w:left w:val="none" w:sz="0" w:space="0" w:color="auto"/>
        <w:bottom w:val="none" w:sz="0" w:space="0" w:color="auto"/>
        <w:right w:val="none" w:sz="0" w:space="0" w:color="auto"/>
      </w:divBdr>
    </w:div>
    <w:div w:id="202449858">
      <w:bodyDiv w:val="1"/>
      <w:marLeft w:val="0"/>
      <w:marRight w:val="0"/>
      <w:marTop w:val="0"/>
      <w:marBottom w:val="0"/>
      <w:divBdr>
        <w:top w:val="none" w:sz="0" w:space="0" w:color="auto"/>
        <w:left w:val="none" w:sz="0" w:space="0" w:color="auto"/>
        <w:bottom w:val="none" w:sz="0" w:space="0" w:color="auto"/>
        <w:right w:val="none" w:sz="0" w:space="0" w:color="auto"/>
      </w:divBdr>
    </w:div>
    <w:div w:id="229074324">
      <w:bodyDiv w:val="1"/>
      <w:marLeft w:val="0"/>
      <w:marRight w:val="0"/>
      <w:marTop w:val="0"/>
      <w:marBottom w:val="0"/>
      <w:divBdr>
        <w:top w:val="none" w:sz="0" w:space="0" w:color="auto"/>
        <w:left w:val="none" w:sz="0" w:space="0" w:color="auto"/>
        <w:bottom w:val="none" w:sz="0" w:space="0" w:color="auto"/>
        <w:right w:val="none" w:sz="0" w:space="0" w:color="auto"/>
      </w:divBdr>
    </w:div>
    <w:div w:id="287712266">
      <w:bodyDiv w:val="1"/>
      <w:marLeft w:val="0"/>
      <w:marRight w:val="0"/>
      <w:marTop w:val="0"/>
      <w:marBottom w:val="0"/>
      <w:divBdr>
        <w:top w:val="none" w:sz="0" w:space="0" w:color="auto"/>
        <w:left w:val="none" w:sz="0" w:space="0" w:color="auto"/>
        <w:bottom w:val="none" w:sz="0" w:space="0" w:color="auto"/>
        <w:right w:val="none" w:sz="0" w:space="0" w:color="auto"/>
      </w:divBdr>
    </w:div>
    <w:div w:id="296031790">
      <w:bodyDiv w:val="1"/>
      <w:marLeft w:val="0"/>
      <w:marRight w:val="0"/>
      <w:marTop w:val="0"/>
      <w:marBottom w:val="0"/>
      <w:divBdr>
        <w:top w:val="none" w:sz="0" w:space="0" w:color="auto"/>
        <w:left w:val="none" w:sz="0" w:space="0" w:color="auto"/>
        <w:bottom w:val="none" w:sz="0" w:space="0" w:color="auto"/>
        <w:right w:val="none" w:sz="0" w:space="0" w:color="auto"/>
      </w:divBdr>
    </w:div>
    <w:div w:id="316544015">
      <w:bodyDiv w:val="1"/>
      <w:marLeft w:val="0"/>
      <w:marRight w:val="0"/>
      <w:marTop w:val="0"/>
      <w:marBottom w:val="0"/>
      <w:divBdr>
        <w:top w:val="none" w:sz="0" w:space="0" w:color="auto"/>
        <w:left w:val="none" w:sz="0" w:space="0" w:color="auto"/>
        <w:bottom w:val="none" w:sz="0" w:space="0" w:color="auto"/>
        <w:right w:val="none" w:sz="0" w:space="0" w:color="auto"/>
      </w:divBdr>
    </w:div>
    <w:div w:id="351878126">
      <w:bodyDiv w:val="1"/>
      <w:marLeft w:val="0"/>
      <w:marRight w:val="0"/>
      <w:marTop w:val="0"/>
      <w:marBottom w:val="0"/>
      <w:divBdr>
        <w:top w:val="none" w:sz="0" w:space="0" w:color="auto"/>
        <w:left w:val="none" w:sz="0" w:space="0" w:color="auto"/>
        <w:bottom w:val="none" w:sz="0" w:space="0" w:color="auto"/>
        <w:right w:val="none" w:sz="0" w:space="0" w:color="auto"/>
      </w:divBdr>
    </w:div>
    <w:div w:id="352727487">
      <w:bodyDiv w:val="1"/>
      <w:marLeft w:val="0"/>
      <w:marRight w:val="0"/>
      <w:marTop w:val="0"/>
      <w:marBottom w:val="0"/>
      <w:divBdr>
        <w:top w:val="none" w:sz="0" w:space="0" w:color="auto"/>
        <w:left w:val="none" w:sz="0" w:space="0" w:color="auto"/>
        <w:bottom w:val="none" w:sz="0" w:space="0" w:color="auto"/>
        <w:right w:val="none" w:sz="0" w:space="0" w:color="auto"/>
      </w:divBdr>
    </w:div>
    <w:div w:id="395006365">
      <w:bodyDiv w:val="1"/>
      <w:marLeft w:val="0"/>
      <w:marRight w:val="0"/>
      <w:marTop w:val="0"/>
      <w:marBottom w:val="0"/>
      <w:divBdr>
        <w:top w:val="none" w:sz="0" w:space="0" w:color="auto"/>
        <w:left w:val="none" w:sz="0" w:space="0" w:color="auto"/>
        <w:bottom w:val="none" w:sz="0" w:space="0" w:color="auto"/>
        <w:right w:val="none" w:sz="0" w:space="0" w:color="auto"/>
      </w:divBdr>
    </w:div>
    <w:div w:id="395664031">
      <w:bodyDiv w:val="1"/>
      <w:marLeft w:val="0"/>
      <w:marRight w:val="0"/>
      <w:marTop w:val="0"/>
      <w:marBottom w:val="0"/>
      <w:divBdr>
        <w:top w:val="none" w:sz="0" w:space="0" w:color="auto"/>
        <w:left w:val="none" w:sz="0" w:space="0" w:color="auto"/>
        <w:bottom w:val="none" w:sz="0" w:space="0" w:color="auto"/>
        <w:right w:val="none" w:sz="0" w:space="0" w:color="auto"/>
      </w:divBdr>
      <w:divsChild>
        <w:div w:id="66080196">
          <w:marLeft w:val="0"/>
          <w:marRight w:val="0"/>
          <w:marTop w:val="0"/>
          <w:marBottom w:val="0"/>
          <w:divBdr>
            <w:top w:val="none" w:sz="0" w:space="0" w:color="auto"/>
            <w:left w:val="none" w:sz="0" w:space="0" w:color="auto"/>
            <w:bottom w:val="none" w:sz="0" w:space="0" w:color="auto"/>
            <w:right w:val="none" w:sz="0" w:space="0" w:color="auto"/>
          </w:divBdr>
        </w:div>
        <w:div w:id="442698263">
          <w:marLeft w:val="0"/>
          <w:marRight w:val="0"/>
          <w:marTop w:val="0"/>
          <w:marBottom w:val="0"/>
          <w:divBdr>
            <w:top w:val="none" w:sz="0" w:space="0" w:color="auto"/>
            <w:left w:val="none" w:sz="0" w:space="0" w:color="auto"/>
            <w:bottom w:val="none" w:sz="0" w:space="0" w:color="auto"/>
            <w:right w:val="none" w:sz="0" w:space="0" w:color="auto"/>
          </w:divBdr>
        </w:div>
        <w:div w:id="1366180221">
          <w:marLeft w:val="0"/>
          <w:marRight w:val="0"/>
          <w:marTop w:val="0"/>
          <w:marBottom w:val="0"/>
          <w:divBdr>
            <w:top w:val="none" w:sz="0" w:space="0" w:color="auto"/>
            <w:left w:val="none" w:sz="0" w:space="0" w:color="auto"/>
            <w:bottom w:val="none" w:sz="0" w:space="0" w:color="auto"/>
            <w:right w:val="none" w:sz="0" w:space="0" w:color="auto"/>
          </w:divBdr>
        </w:div>
      </w:divsChild>
    </w:div>
    <w:div w:id="474949595">
      <w:bodyDiv w:val="1"/>
      <w:marLeft w:val="0"/>
      <w:marRight w:val="0"/>
      <w:marTop w:val="0"/>
      <w:marBottom w:val="0"/>
      <w:divBdr>
        <w:top w:val="none" w:sz="0" w:space="0" w:color="auto"/>
        <w:left w:val="none" w:sz="0" w:space="0" w:color="auto"/>
        <w:bottom w:val="none" w:sz="0" w:space="0" w:color="auto"/>
        <w:right w:val="none" w:sz="0" w:space="0" w:color="auto"/>
      </w:divBdr>
    </w:div>
    <w:div w:id="520509557">
      <w:bodyDiv w:val="1"/>
      <w:marLeft w:val="0"/>
      <w:marRight w:val="0"/>
      <w:marTop w:val="0"/>
      <w:marBottom w:val="0"/>
      <w:divBdr>
        <w:top w:val="none" w:sz="0" w:space="0" w:color="auto"/>
        <w:left w:val="none" w:sz="0" w:space="0" w:color="auto"/>
        <w:bottom w:val="none" w:sz="0" w:space="0" w:color="auto"/>
        <w:right w:val="none" w:sz="0" w:space="0" w:color="auto"/>
      </w:divBdr>
    </w:div>
    <w:div w:id="524095333">
      <w:bodyDiv w:val="1"/>
      <w:marLeft w:val="0"/>
      <w:marRight w:val="0"/>
      <w:marTop w:val="0"/>
      <w:marBottom w:val="0"/>
      <w:divBdr>
        <w:top w:val="none" w:sz="0" w:space="0" w:color="auto"/>
        <w:left w:val="none" w:sz="0" w:space="0" w:color="auto"/>
        <w:bottom w:val="none" w:sz="0" w:space="0" w:color="auto"/>
        <w:right w:val="none" w:sz="0" w:space="0" w:color="auto"/>
      </w:divBdr>
    </w:div>
    <w:div w:id="662970046">
      <w:bodyDiv w:val="1"/>
      <w:marLeft w:val="0"/>
      <w:marRight w:val="0"/>
      <w:marTop w:val="0"/>
      <w:marBottom w:val="0"/>
      <w:divBdr>
        <w:top w:val="none" w:sz="0" w:space="0" w:color="auto"/>
        <w:left w:val="none" w:sz="0" w:space="0" w:color="auto"/>
        <w:bottom w:val="none" w:sz="0" w:space="0" w:color="auto"/>
        <w:right w:val="none" w:sz="0" w:space="0" w:color="auto"/>
      </w:divBdr>
    </w:div>
    <w:div w:id="682437899">
      <w:bodyDiv w:val="1"/>
      <w:marLeft w:val="0"/>
      <w:marRight w:val="0"/>
      <w:marTop w:val="0"/>
      <w:marBottom w:val="0"/>
      <w:divBdr>
        <w:top w:val="none" w:sz="0" w:space="0" w:color="auto"/>
        <w:left w:val="none" w:sz="0" w:space="0" w:color="auto"/>
        <w:bottom w:val="none" w:sz="0" w:space="0" w:color="auto"/>
        <w:right w:val="none" w:sz="0" w:space="0" w:color="auto"/>
      </w:divBdr>
    </w:div>
    <w:div w:id="693381446">
      <w:bodyDiv w:val="1"/>
      <w:marLeft w:val="0"/>
      <w:marRight w:val="0"/>
      <w:marTop w:val="0"/>
      <w:marBottom w:val="0"/>
      <w:divBdr>
        <w:top w:val="none" w:sz="0" w:space="0" w:color="auto"/>
        <w:left w:val="none" w:sz="0" w:space="0" w:color="auto"/>
        <w:bottom w:val="none" w:sz="0" w:space="0" w:color="auto"/>
        <w:right w:val="none" w:sz="0" w:space="0" w:color="auto"/>
      </w:divBdr>
    </w:div>
    <w:div w:id="706563913">
      <w:bodyDiv w:val="1"/>
      <w:marLeft w:val="0"/>
      <w:marRight w:val="0"/>
      <w:marTop w:val="0"/>
      <w:marBottom w:val="0"/>
      <w:divBdr>
        <w:top w:val="none" w:sz="0" w:space="0" w:color="auto"/>
        <w:left w:val="none" w:sz="0" w:space="0" w:color="auto"/>
        <w:bottom w:val="none" w:sz="0" w:space="0" w:color="auto"/>
        <w:right w:val="none" w:sz="0" w:space="0" w:color="auto"/>
      </w:divBdr>
    </w:div>
    <w:div w:id="883057638">
      <w:bodyDiv w:val="1"/>
      <w:marLeft w:val="0"/>
      <w:marRight w:val="0"/>
      <w:marTop w:val="0"/>
      <w:marBottom w:val="0"/>
      <w:divBdr>
        <w:top w:val="none" w:sz="0" w:space="0" w:color="auto"/>
        <w:left w:val="none" w:sz="0" w:space="0" w:color="auto"/>
        <w:bottom w:val="none" w:sz="0" w:space="0" w:color="auto"/>
        <w:right w:val="none" w:sz="0" w:space="0" w:color="auto"/>
      </w:divBdr>
    </w:div>
    <w:div w:id="974677292">
      <w:bodyDiv w:val="1"/>
      <w:marLeft w:val="0"/>
      <w:marRight w:val="0"/>
      <w:marTop w:val="0"/>
      <w:marBottom w:val="0"/>
      <w:divBdr>
        <w:top w:val="none" w:sz="0" w:space="0" w:color="auto"/>
        <w:left w:val="none" w:sz="0" w:space="0" w:color="auto"/>
        <w:bottom w:val="none" w:sz="0" w:space="0" w:color="auto"/>
        <w:right w:val="none" w:sz="0" w:space="0" w:color="auto"/>
      </w:divBdr>
    </w:div>
    <w:div w:id="1101026419">
      <w:bodyDiv w:val="1"/>
      <w:marLeft w:val="0"/>
      <w:marRight w:val="0"/>
      <w:marTop w:val="0"/>
      <w:marBottom w:val="0"/>
      <w:divBdr>
        <w:top w:val="none" w:sz="0" w:space="0" w:color="auto"/>
        <w:left w:val="none" w:sz="0" w:space="0" w:color="auto"/>
        <w:bottom w:val="none" w:sz="0" w:space="0" w:color="auto"/>
        <w:right w:val="none" w:sz="0" w:space="0" w:color="auto"/>
      </w:divBdr>
    </w:div>
    <w:div w:id="1221402064">
      <w:bodyDiv w:val="1"/>
      <w:marLeft w:val="0"/>
      <w:marRight w:val="0"/>
      <w:marTop w:val="0"/>
      <w:marBottom w:val="0"/>
      <w:divBdr>
        <w:top w:val="none" w:sz="0" w:space="0" w:color="auto"/>
        <w:left w:val="none" w:sz="0" w:space="0" w:color="auto"/>
        <w:bottom w:val="none" w:sz="0" w:space="0" w:color="auto"/>
        <w:right w:val="none" w:sz="0" w:space="0" w:color="auto"/>
      </w:divBdr>
    </w:div>
    <w:div w:id="1251934249">
      <w:bodyDiv w:val="1"/>
      <w:marLeft w:val="0"/>
      <w:marRight w:val="0"/>
      <w:marTop w:val="0"/>
      <w:marBottom w:val="0"/>
      <w:divBdr>
        <w:top w:val="none" w:sz="0" w:space="0" w:color="auto"/>
        <w:left w:val="none" w:sz="0" w:space="0" w:color="auto"/>
        <w:bottom w:val="none" w:sz="0" w:space="0" w:color="auto"/>
        <w:right w:val="none" w:sz="0" w:space="0" w:color="auto"/>
      </w:divBdr>
    </w:div>
    <w:div w:id="1254170015">
      <w:bodyDiv w:val="1"/>
      <w:marLeft w:val="0"/>
      <w:marRight w:val="0"/>
      <w:marTop w:val="0"/>
      <w:marBottom w:val="0"/>
      <w:divBdr>
        <w:top w:val="none" w:sz="0" w:space="0" w:color="auto"/>
        <w:left w:val="none" w:sz="0" w:space="0" w:color="auto"/>
        <w:bottom w:val="none" w:sz="0" w:space="0" w:color="auto"/>
        <w:right w:val="none" w:sz="0" w:space="0" w:color="auto"/>
      </w:divBdr>
    </w:div>
    <w:div w:id="1391921303">
      <w:bodyDiv w:val="1"/>
      <w:marLeft w:val="0"/>
      <w:marRight w:val="0"/>
      <w:marTop w:val="0"/>
      <w:marBottom w:val="0"/>
      <w:divBdr>
        <w:top w:val="none" w:sz="0" w:space="0" w:color="auto"/>
        <w:left w:val="none" w:sz="0" w:space="0" w:color="auto"/>
        <w:bottom w:val="none" w:sz="0" w:space="0" w:color="auto"/>
        <w:right w:val="none" w:sz="0" w:space="0" w:color="auto"/>
      </w:divBdr>
    </w:div>
    <w:div w:id="1436710904">
      <w:bodyDiv w:val="1"/>
      <w:marLeft w:val="0"/>
      <w:marRight w:val="0"/>
      <w:marTop w:val="0"/>
      <w:marBottom w:val="0"/>
      <w:divBdr>
        <w:top w:val="none" w:sz="0" w:space="0" w:color="auto"/>
        <w:left w:val="none" w:sz="0" w:space="0" w:color="auto"/>
        <w:bottom w:val="none" w:sz="0" w:space="0" w:color="auto"/>
        <w:right w:val="none" w:sz="0" w:space="0" w:color="auto"/>
      </w:divBdr>
    </w:div>
    <w:div w:id="1444034263">
      <w:bodyDiv w:val="1"/>
      <w:marLeft w:val="0"/>
      <w:marRight w:val="0"/>
      <w:marTop w:val="0"/>
      <w:marBottom w:val="0"/>
      <w:divBdr>
        <w:top w:val="none" w:sz="0" w:space="0" w:color="auto"/>
        <w:left w:val="none" w:sz="0" w:space="0" w:color="auto"/>
        <w:bottom w:val="none" w:sz="0" w:space="0" w:color="auto"/>
        <w:right w:val="none" w:sz="0" w:space="0" w:color="auto"/>
      </w:divBdr>
    </w:div>
    <w:div w:id="1449005885">
      <w:bodyDiv w:val="1"/>
      <w:marLeft w:val="0"/>
      <w:marRight w:val="0"/>
      <w:marTop w:val="0"/>
      <w:marBottom w:val="0"/>
      <w:divBdr>
        <w:top w:val="none" w:sz="0" w:space="0" w:color="auto"/>
        <w:left w:val="none" w:sz="0" w:space="0" w:color="auto"/>
        <w:bottom w:val="none" w:sz="0" w:space="0" w:color="auto"/>
        <w:right w:val="none" w:sz="0" w:space="0" w:color="auto"/>
      </w:divBdr>
    </w:div>
    <w:div w:id="1503858346">
      <w:bodyDiv w:val="1"/>
      <w:marLeft w:val="0"/>
      <w:marRight w:val="0"/>
      <w:marTop w:val="0"/>
      <w:marBottom w:val="0"/>
      <w:divBdr>
        <w:top w:val="none" w:sz="0" w:space="0" w:color="auto"/>
        <w:left w:val="none" w:sz="0" w:space="0" w:color="auto"/>
        <w:bottom w:val="none" w:sz="0" w:space="0" w:color="auto"/>
        <w:right w:val="none" w:sz="0" w:space="0" w:color="auto"/>
      </w:divBdr>
    </w:div>
    <w:div w:id="1529833681">
      <w:bodyDiv w:val="1"/>
      <w:marLeft w:val="0"/>
      <w:marRight w:val="0"/>
      <w:marTop w:val="0"/>
      <w:marBottom w:val="0"/>
      <w:divBdr>
        <w:top w:val="none" w:sz="0" w:space="0" w:color="auto"/>
        <w:left w:val="none" w:sz="0" w:space="0" w:color="auto"/>
        <w:bottom w:val="none" w:sz="0" w:space="0" w:color="auto"/>
        <w:right w:val="none" w:sz="0" w:space="0" w:color="auto"/>
      </w:divBdr>
    </w:div>
    <w:div w:id="1543055099">
      <w:bodyDiv w:val="1"/>
      <w:marLeft w:val="0"/>
      <w:marRight w:val="0"/>
      <w:marTop w:val="0"/>
      <w:marBottom w:val="0"/>
      <w:divBdr>
        <w:top w:val="none" w:sz="0" w:space="0" w:color="auto"/>
        <w:left w:val="none" w:sz="0" w:space="0" w:color="auto"/>
        <w:bottom w:val="none" w:sz="0" w:space="0" w:color="auto"/>
        <w:right w:val="none" w:sz="0" w:space="0" w:color="auto"/>
      </w:divBdr>
    </w:div>
    <w:div w:id="1566867331">
      <w:bodyDiv w:val="1"/>
      <w:marLeft w:val="0"/>
      <w:marRight w:val="0"/>
      <w:marTop w:val="0"/>
      <w:marBottom w:val="0"/>
      <w:divBdr>
        <w:top w:val="none" w:sz="0" w:space="0" w:color="auto"/>
        <w:left w:val="none" w:sz="0" w:space="0" w:color="auto"/>
        <w:bottom w:val="none" w:sz="0" w:space="0" w:color="auto"/>
        <w:right w:val="none" w:sz="0" w:space="0" w:color="auto"/>
      </w:divBdr>
    </w:div>
    <w:div w:id="1566918909">
      <w:bodyDiv w:val="1"/>
      <w:marLeft w:val="0"/>
      <w:marRight w:val="0"/>
      <w:marTop w:val="0"/>
      <w:marBottom w:val="0"/>
      <w:divBdr>
        <w:top w:val="none" w:sz="0" w:space="0" w:color="auto"/>
        <w:left w:val="none" w:sz="0" w:space="0" w:color="auto"/>
        <w:bottom w:val="none" w:sz="0" w:space="0" w:color="auto"/>
        <w:right w:val="none" w:sz="0" w:space="0" w:color="auto"/>
      </w:divBdr>
    </w:div>
    <w:div w:id="1606381854">
      <w:bodyDiv w:val="1"/>
      <w:marLeft w:val="0"/>
      <w:marRight w:val="0"/>
      <w:marTop w:val="0"/>
      <w:marBottom w:val="0"/>
      <w:divBdr>
        <w:top w:val="none" w:sz="0" w:space="0" w:color="auto"/>
        <w:left w:val="none" w:sz="0" w:space="0" w:color="auto"/>
        <w:bottom w:val="none" w:sz="0" w:space="0" w:color="auto"/>
        <w:right w:val="none" w:sz="0" w:space="0" w:color="auto"/>
      </w:divBdr>
    </w:div>
    <w:div w:id="1616910990">
      <w:bodyDiv w:val="1"/>
      <w:marLeft w:val="0"/>
      <w:marRight w:val="0"/>
      <w:marTop w:val="0"/>
      <w:marBottom w:val="0"/>
      <w:divBdr>
        <w:top w:val="none" w:sz="0" w:space="0" w:color="auto"/>
        <w:left w:val="none" w:sz="0" w:space="0" w:color="auto"/>
        <w:bottom w:val="none" w:sz="0" w:space="0" w:color="auto"/>
        <w:right w:val="none" w:sz="0" w:space="0" w:color="auto"/>
      </w:divBdr>
    </w:div>
    <w:div w:id="1656185538">
      <w:bodyDiv w:val="1"/>
      <w:marLeft w:val="0"/>
      <w:marRight w:val="0"/>
      <w:marTop w:val="0"/>
      <w:marBottom w:val="0"/>
      <w:divBdr>
        <w:top w:val="none" w:sz="0" w:space="0" w:color="auto"/>
        <w:left w:val="none" w:sz="0" w:space="0" w:color="auto"/>
        <w:bottom w:val="none" w:sz="0" w:space="0" w:color="auto"/>
        <w:right w:val="none" w:sz="0" w:space="0" w:color="auto"/>
      </w:divBdr>
    </w:div>
    <w:div w:id="1671253731">
      <w:bodyDiv w:val="1"/>
      <w:marLeft w:val="0"/>
      <w:marRight w:val="0"/>
      <w:marTop w:val="0"/>
      <w:marBottom w:val="0"/>
      <w:divBdr>
        <w:top w:val="none" w:sz="0" w:space="0" w:color="auto"/>
        <w:left w:val="none" w:sz="0" w:space="0" w:color="auto"/>
        <w:bottom w:val="none" w:sz="0" w:space="0" w:color="auto"/>
        <w:right w:val="none" w:sz="0" w:space="0" w:color="auto"/>
      </w:divBdr>
    </w:div>
    <w:div w:id="1717658070">
      <w:bodyDiv w:val="1"/>
      <w:marLeft w:val="0"/>
      <w:marRight w:val="0"/>
      <w:marTop w:val="0"/>
      <w:marBottom w:val="0"/>
      <w:divBdr>
        <w:top w:val="none" w:sz="0" w:space="0" w:color="auto"/>
        <w:left w:val="none" w:sz="0" w:space="0" w:color="auto"/>
        <w:bottom w:val="none" w:sz="0" w:space="0" w:color="auto"/>
        <w:right w:val="none" w:sz="0" w:space="0" w:color="auto"/>
      </w:divBdr>
    </w:div>
    <w:div w:id="1722900669">
      <w:bodyDiv w:val="1"/>
      <w:marLeft w:val="0"/>
      <w:marRight w:val="0"/>
      <w:marTop w:val="0"/>
      <w:marBottom w:val="0"/>
      <w:divBdr>
        <w:top w:val="none" w:sz="0" w:space="0" w:color="auto"/>
        <w:left w:val="none" w:sz="0" w:space="0" w:color="auto"/>
        <w:bottom w:val="none" w:sz="0" w:space="0" w:color="auto"/>
        <w:right w:val="none" w:sz="0" w:space="0" w:color="auto"/>
      </w:divBdr>
    </w:div>
    <w:div w:id="1731347914">
      <w:bodyDiv w:val="1"/>
      <w:marLeft w:val="0"/>
      <w:marRight w:val="0"/>
      <w:marTop w:val="0"/>
      <w:marBottom w:val="0"/>
      <w:divBdr>
        <w:top w:val="none" w:sz="0" w:space="0" w:color="auto"/>
        <w:left w:val="none" w:sz="0" w:space="0" w:color="auto"/>
        <w:bottom w:val="none" w:sz="0" w:space="0" w:color="auto"/>
        <w:right w:val="none" w:sz="0" w:space="0" w:color="auto"/>
      </w:divBdr>
    </w:div>
    <w:div w:id="1767651404">
      <w:bodyDiv w:val="1"/>
      <w:marLeft w:val="0"/>
      <w:marRight w:val="0"/>
      <w:marTop w:val="0"/>
      <w:marBottom w:val="0"/>
      <w:divBdr>
        <w:top w:val="none" w:sz="0" w:space="0" w:color="auto"/>
        <w:left w:val="none" w:sz="0" w:space="0" w:color="auto"/>
        <w:bottom w:val="none" w:sz="0" w:space="0" w:color="auto"/>
        <w:right w:val="none" w:sz="0" w:space="0" w:color="auto"/>
      </w:divBdr>
    </w:div>
    <w:div w:id="1791432914">
      <w:bodyDiv w:val="1"/>
      <w:marLeft w:val="0"/>
      <w:marRight w:val="0"/>
      <w:marTop w:val="0"/>
      <w:marBottom w:val="0"/>
      <w:divBdr>
        <w:top w:val="none" w:sz="0" w:space="0" w:color="auto"/>
        <w:left w:val="none" w:sz="0" w:space="0" w:color="auto"/>
        <w:bottom w:val="none" w:sz="0" w:space="0" w:color="auto"/>
        <w:right w:val="none" w:sz="0" w:space="0" w:color="auto"/>
      </w:divBdr>
    </w:div>
    <w:div w:id="1841459056">
      <w:bodyDiv w:val="1"/>
      <w:marLeft w:val="0"/>
      <w:marRight w:val="0"/>
      <w:marTop w:val="0"/>
      <w:marBottom w:val="0"/>
      <w:divBdr>
        <w:top w:val="none" w:sz="0" w:space="0" w:color="auto"/>
        <w:left w:val="none" w:sz="0" w:space="0" w:color="auto"/>
        <w:bottom w:val="none" w:sz="0" w:space="0" w:color="auto"/>
        <w:right w:val="none" w:sz="0" w:space="0" w:color="auto"/>
      </w:divBdr>
    </w:div>
    <w:div w:id="1893805633">
      <w:bodyDiv w:val="1"/>
      <w:marLeft w:val="0"/>
      <w:marRight w:val="0"/>
      <w:marTop w:val="0"/>
      <w:marBottom w:val="0"/>
      <w:divBdr>
        <w:top w:val="none" w:sz="0" w:space="0" w:color="auto"/>
        <w:left w:val="none" w:sz="0" w:space="0" w:color="auto"/>
        <w:bottom w:val="none" w:sz="0" w:space="0" w:color="auto"/>
        <w:right w:val="none" w:sz="0" w:space="0" w:color="auto"/>
      </w:divBdr>
    </w:div>
    <w:div w:id="1905602351">
      <w:bodyDiv w:val="1"/>
      <w:marLeft w:val="0"/>
      <w:marRight w:val="0"/>
      <w:marTop w:val="0"/>
      <w:marBottom w:val="0"/>
      <w:divBdr>
        <w:top w:val="none" w:sz="0" w:space="0" w:color="auto"/>
        <w:left w:val="none" w:sz="0" w:space="0" w:color="auto"/>
        <w:bottom w:val="none" w:sz="0" w:space="0" w:color="auto"/>
        <w:right w:val="none" w:sz="0" w:space="0" w:color="auto"/>
      </w:divBdr>
    </w:div>
    <w:div w:id="1928688147">
      <w:bodyDiv w:val="1"/>
      <w:marLeft w:val="0"/>
      <w:marRight w:val="0"/>
      <w:marTop w:val="0"/>
      <w:marBottom w:val="0"/>
      <w:divBdr>
        <w:top w:val="none" w:sz="0" w:space="0" w:color="auto"/>
        <w:left w:val="none" w:sz="0" w:space="0" w:color="auto"/>
        <w:bottom w:val="none" w:sz="0" w:space="0" w:color="auto"/>
        <w:right w:val="none" w:sz="0" w:space="0" w:color="auto"/>
      </w:divBdr>
    </w:div>
    <w:div w:id="1950156501">
      <w:bodyDiv w:val="1"/>
      <w:marLeft w:val="0"/>
      <w:marRight w:val="0"/>
      <w:marTop w:val="0"/>
      <w:marBottom w:val="0"/>
      <w:divBdr>
        <w:top w:val="none" w:sz="0" w:space="0" w:color="auto"/>
        <w:left w:val="none" w:sz="0" w:space="0" w:color="auto"/>
        <w:bottom w:val="none" w:sz="0" w:space="0" w:color="auto"/>
        <w:right w:val="none" w:sz="0" w:space="0" w:color="auto"/>
      </w:divBdr>
    </w:div>
    <w:div w:id="1970747141">
      <w:bodyDiv w:val="1"/>
      <w:marLeft w:val="0"/>
      <w:marRight w:val="0"/>
      <w:marTop w:val="0"/>
      <w:marBottom w:val="0"/>
      <w:divBdr>
        <w:top w:val="none" w:sz="0" w:space="0" w:color="auto"/>
        <w:left w:val="none" w:sz="0" w:space="0" w:color="auto"/>
        <w:bottom w:val="none" w:sz="0" w:space="0" w:color="auto"/>
        <w:right w:val="none" w:sz="0" w:space="0" w:color="auto"/>
      </w:divBdr>
    </w:div>
    <w:div w:id="1996639167">
      <w:bodyDiv w:val="1"/>
      <w:marLeft w:val="0"/>
      <w:marRight w:val="0"/>
      <w:marTop w:val="0"/>
      <w:marBottom w:val="0"/>
      <w:divBdr>
        <w:top w:val="none" w:sz="0" w:space="0" w:color="auto"/>
        <w:left w:val="none" w:sz="0" w:space="0" w:color="auto"/>
        <w:bottom w:val="none" w:sz="0" w:space="0" w:color="auto"/>
        <w:right w:val="none" w:sz="0" w:space="0" w:color="auto"/>
      </w:divBdr>
    </w:div>
    <w:div w:id="2010712692">
      <w:bodyDiv w:val="1"/>
      <w:marLeft w:val="0"/>
      <w:marRight w:val="0"/>
      <w:marTop w:val="0"/>
      <w:marBottom w:val="0"/>
      <w:divBdr>
        <w:top w:val="none" w:sz="0" w:space="0" w:color="auto"/>
        <w:left w:val="none" w:sz="0" w:space="0" w:color="auto"/>
        <w:bottom w:val="none" w:sz="0" w:space="0" w:color="auto"/>
        <w:right w:val="none" w:sz="0" w:space="0" w:color="auto"/>
      </w:divBdr>
    </w:div>
    <w:div w:id="2024479489">
      <w:bodyDiv w:val="1"/>
      <w:marLeft w:val="0"/>
      <w:marRight w:val="0"/>
      <w:marTop w:val="0"/>
      <w:marBottom w:val="0"/>
      <w:divBdr>
        <w:top w:val="none" w:sz="0" w:space="0" w:color="auto"/>
        <w:left w:val="none" w:sz="0" w:space="0" w:color="auto"/>
        <w:bottom w:val="none" w:sz="0" w:space="0" w:color="auto"/>
        <w:right w:val="none" w:sz="0" w:space="0" w:color="auto"/>
      </w:divBdr>
    </w:div>
    <w:div w:id="2044669910">
      <w:bodyDiv w:val="1"/>
      <w:marLeft w:val="0"/>
      <w:marRight w:val="0"/>
      <w:marTop w:val="0"/>
      <w:marBottom w:val="0"/>
      <w:divBdr>
        <w:top w:val="none" w:sz="0" w:space="0" w:color="auto"/>
        <w:left w:val="none" w:sz="0" w:space="0" w:color="auto"/>
        <w:bottom w:val="none" w:sz="0" w:space="0" w:color="auto"/>
        <w:right w:val="none" w:sz="0" w:space="0" w:color="auto"/>
      </w:divBdr>
    </w:div>
    <w:div w:id="2094426082">
      <w:bodyDiv w:val="1"/>
      <w:marLeft w:val="0"/>
      <w:marRight w:val="0"/>
      <w:marTop w:val="0"/>
      <w:marBottom w:val="0"/>
      <w:divBdr>
        <w:top w:val="none" w:sz="0" w:space="0" w:color="auto"/>
        <w:left w:val="none" w:sz="0" w:space="0" w:color="auto"/>
        <w:bottom w:val="none" w:sz="0" w:space="0" w:color="auto"/>
        <w:right w:val="none" w:sz="0" w:space="0" w:color="auto"/>
      </w:divBdr>
    </w:div>
    <w:div w:id="211524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s.wa.gov/new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ED6BA-B03C-4C80-9232-AA1630B343A8}">
  <ds:schemaRefs>
    <ds:schemaRef ds:uri="http://schemas.openxmlformats.org/officeDocument/2006/bibliography"/>
  </ds:schemaRefs>
</ds:datastoreItem>
</file>

<file path=docMetadata/LabelInfo.xml><?xml version="1.0" encoding="utf-8"?>
<clbl:labelList xmlns:clbl="http://schemas.microsoft.com/office/2020/mipLabelMetadata">
  <clbl:label id="{1520fa42-cf58-4c22-8b93-58cf1d3bd1cb}" enabled="1" method="Standard" siteId="{11d0e217-264e-400a-8ba0-57dcc127d72d}" removed="0"/>
</clbl:labelList>
</file>

<file path=docProps/app.xml><?xml version="1.0" encoding="utf-8"?>
<Properties xmlns="http://schemas.openxmlformats.org/officeDocument/2006/extended-properties" xmlns:vt="http://schemas.openxmlformats.org/officeDocument/2006/docPropsVTypes">
  <Template>Normal</Template>
  <TotalTime>150</TotalTime>
  <Pages>8</Pages>
  <Words>2560</Words>
  <Characters>14594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WA ST Auditor's Office</Company>
  <LinksUpToDate>false</LinksUpToDate>
  <CharactersWithSpaces>17120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OSPI SAFS</dc:creator>
  <cp:keywords/>
  <dc:description/>
  <cp:lastModifiedBy>Paul Stone (OSPI)</cp:lastModifiedBy>
  <cp:revision>8</cp:revision>
  <cp:lastPrinted>2026-10-21T16:24:00Z</cp:lastPrinted>
  <dcterms:created xsi:type="dcterms:W3CDTF">2026-10-23T21:07:00Z</dcterms:created>
  <dcterms:modified xsi:type="dcterms:W3CDTF">2026-10-29T15:33:00Z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5f431-4c8c-42c6-a5a5-ba6d3bdea585_Enabled">
    <vt:lpwstr>true</vt:lpwstr>
  </property>
  <property fmtid="{D5CDD505-2E9C-101B-9397-08002B2CF9AE}" pid="3" name="MSIP_Label_9145f431-4c8c-42c6-a5a5-ba6d3bdea585_SetDate">
    <vt:lpwstr>2024-09-17T19:22:07Z</vt:lpwstr>
  </property>
  <property fmtid="{D5CDD505-2E9C-101B-9397-08002B2CF9AE}" pid="4" name="MSIP_Label_9145f431-4c8c-42c6-a5a5-ba6d3bdea585_Method">
    <vt:lpwstr>Standard</vt:lpwstr>
  </property>
  <property fmtid="{D5CDD505-2E9C-101B-9397-08002B2CF9AE}" pid="5" name="MSIP_Label_9145f431-4c8c-42c6-a5a5-ba6d3bdea585_Name">
    <vt:lpwstr>defa4170-0d19-0005-0004-bc88714345d2</vt:lpwstr>
  </property>
  <property fmtid="{D5CDD505-2E9C-101B-9397-08002B2CF9AE}" pid="6" name="MSIP_Label_9145f431-4c8c-42c6-a5a5-ba6d3bdea585_SiteId">
    <vt:lpwstr>b2fe5ccf-10a5-46fe-ae45-a0267412af7a</vt:lpwstr>
  </property>
  <property fmtid="{D5CDD505-2E9C-101B-9397-08002B2CF9AE}" pid="7" name="MSIP_Label_9145f431-4c8c-42c6-a5a5-ba6d3bdea585_ActionId">
    <vt:lpwstr>f614e74e-7c09-4b96-9879-d6f5b54aeb9a</vt:lpwstr>
  </property>
  <property fmtid="{D5CDD505-2E9C-101B-9397-08002B2CF9AE}" pid="8" name="MSIP_Label_9145f431-4c8c-42c6-a5a5-ba6d3bdea585_ContentBits">
    <vt:lpwstr>0</vt:lpwstr>
  </property>
</Properties>
</file>