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D2" w:rsidRDefault="002B001E" w:rsidP="00371B79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b/>
          <w:sz w:val="32"/>
        </w:rPr>
      </w:pPr>
      <w:proofErr w:type="spellStart"/>
      <w:r w:rsidRPr="00104AB7">
        <w:rPr>
          <w:rFonts w:ascii="Times New Roman" w:hAnsi="Times New Roman"/>
          <w:b/>
          <w:sz w:val="36"/>
          <w:szCs w:val="32"/>
        </w:rPr>
        <w:t>Quyền</w:t>
      </w:r>
      <w:proofErr w:type="spellEnd"/>
      <w:r w:rsidRPr="00104AB7">
        <w:rPr>
          <w:rFonts w:ascii="Times New Roman" w:hAnsi="Times New Roman"/>
          <w:b/>
          <w:sz w:val="36"/>
          <w:szCs w:val="32"/>
        </w:rPr>
        <w:t xml:space="preserve"> </w:t>
      </w:r>
      <w:proofErr w:type="spellStart"/>
      <w:r w:rsidRPr="00104AB7">
        <w:rPr>
          <w:rFonts w:ascii="Times New Roman" w:hAnsi="Times New Roman"/>
          <w:b/>
          <w:sz w:val="36"/>
          <w:szCs w:val="32"/>
        </w:rPr>
        <w:t>Của</w:t>
      </w:r>
      <w:proofErr w:type="spellEnd"/>
      <w:r w:rsidRPr="00104AB7">
        <w:rPr>
          <w:rFonts w:ascii="Times New Roman" w:hAnsi="Times New Roman"/>
          <w:b/>
          <w:sz w:val="36"/>
          <w:szCs w:val="32"/>
        </w:rPr>
        <w:t xml:space="preserve"> </w:t>
      </w:r>
      <w:proofErr w:type="spellStart"/>
      <w:r w:rsidRPr="00104AB7">
        <w:rPr>
          <w:rFonts w:ascii="Times New Roman" w:hAnsi="Times New Roman"/>
          <w:b/>
          <w:sz w:val="36"/>
          <w:szCs w:val="32"/>
        </w:rPr>
        <w:t>Quý</w:t>
      </w:r>
      <w:proofErr w:type="spellEnd"/>
      <w:r w:rsidRPr="00104AB7">
        <w:rPr>
          <w:rFonts w:ascii="Times New Roman" w:hAnsi="Times New Roman"/>
          <w:b/>
          <w:sz w:val="36"/>
          <w:szCs w:val="32"/>
        </w:rPr>
        <w:t xml:space="preserve"> </w:t>
      </w:r>
      <w:proofErr w:type="spellStart"/>
      <w:r w:rsidRPr="00104AB7">
        <w:rPr>
          <w:rFonts w:ascii="Times New Roman" w:hAnsi="Times New Roman"/>
          <w:b/>
          <w:sz w:val="36"/>
          <w:szCs w:val="32"/>
        </w:rPr>
        <w:t>Vị</w:t>
      </w:r>
      <w:proofErr w:type="spellEnd"/>
      <w:r w:rsidRPr="00104AB7">
        <w:rPr>
          <w:rFonts w:ascii="Times New Roman" w:hAnsi="Times New Roman"/>
          <w:b/>
          <w:sz w:val="36"/>
          <w:szCs w:val="32"/>
        </w:rPr>
        <w:t xml:space="preserve"> Theo </w:t>
      </w:r>
      <w:proofErr w:type="spellStart"/>
      <w:r w:rsidRPr="00104AB7">
        <w:rPr>
          <w:rFonts w:ascii="Times New Roman" w:hAnsi="Times New Roman"/>
          <w:b/>
          <w:sz w:val="36"/>
          <w:szCs w:val="32"/>
        </w:rPr>
        <w:t>Phần</w:t>
      </w:r>
      <w:proofErr w:type="spellEnd"/>
      <w:r w:rsidRPr="00104AB7">
        <w:rPr>
          <w:rFonts w:ascii="Times New Roman" w:hAnsi="Times New Roman"/>
          <w:b/>
          <w:sz w:val="36"/>
          <w:szCs w:val="32"/>
        </w:rPr>
        <w:t xml:space="preserve"> 504            </w:t>
      </w:r>
      <w:r w:rsidR="00104AB7" w:rsidRPr="003353E3">
        <w:rPr>
          <w:b/>
          <w:sz w:val="32"/>
          <w:highlight w:val="yellow"/>
        </w:rPr>
        <w:t>[Insert District Name or Logo]</w:t>
      </w:r>
    </w:p>
    <w:p w:rsidR="007451D2" w:rsidRDefault="007451D2" w:rsidP="00371B79">
      <w:pPr>
        <w:spacing w:after="0" w:line="240" w:lineRule="auto"/>
      </w:pPr>
    </w:p>
    <w:p w:rsidR="007451D2" w:rsidRDefault="002B001E" w:rsidP="00371B79">
      <w:pPr>
        <w:spacing w:after="0" w:line="240" w:lineRule="auto"/>
        <w:rPr>
          <w:rFonts w:ascii="Times New Roman" w:hAnsi="Times New Roman"/>
          <w:i/>
          <w:szCs w:val="20"/>
        </w:rPr>
      </w:pPr>
      <w:proofErr w:type="spellStart"/>
      <w:r>
        <w:rPr>
          <w:rFonts w:ascii="Times New Roman" w:hAnsi="Times New Roman"/>
          <w:i/>
          <w:szCs w:val="20"/>
        </w:rPr>
        <w:t>Quý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vị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có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quyền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được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học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khu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thông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báo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về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các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quyền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của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quý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vị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Cs w:val="20"/>
        </w:rPr>
        <w:t>theo</w:t>
      </w:r>
      <w:proofErr w:type="spellEnd"/>
      <w:proofErr w:type="gram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Phần</w:t>
      </w:r>
      <w:proofErr w:type="spellEnd"/>
      <w:r>
        <w:rPr>
          <w:rFonts w:ascii="Times New Roman" w:hAnsi="Times New Roman"/>
          <w:i/>
          <w:szCs w:val="20"/>
        </w:rPr>
        <w:t xml:space="preserve"> 504. </w:t>
      </w:r>
      <w:proofErr w:type="spellStart"/>
      <w:r>
        <w:rPr>
          <w:rFonts w:ascii="Times New Roman" w:hAnsi="Times New Roman"/>
          <w:i/>
          <w:szCs w:val="20"/>
        </w:rPr>
        <w:t>Đây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là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thông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báo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về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quyền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của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quý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vị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và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của</w:t>
      </w:r>
      <w:proofErr w:type="spellEnd"/>
      <w:r>
        <w:rPr>
          <w:rFonts w:ascii="Times New Roman" w:hAnsi="Times New Roman"/>
          <w:i/>
          <w:szCs w:val="20"/>
        </w:rPr>
        <w:t xml:space="preserve"> con </w:t>
      </w:r>
      <w:proofErr w:type="spellStart"/>
      <w:r>
        <w:rPr>
          <w:rFonts w:ascii="Times New Roman" w:hAnsi="Times New Roman"/>
          <w:i/>
          <w:szCs w:val="20"/>
        </w:rPr>
        <w:t>quý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vị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Cs w:val="20"/>
        </w:rPr>
        <w:t>theo</w:t>
      </w:r>
      <w:proofErr w:type="spellEnd"/>
      <w:proofErr w:type="gram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Phần</w:t>
      </w:r>
      <w:proofErr w:type="spellEnd"/>
      <w:r>
        <w:rPr>
          <w:rFonts w:ascii="Times New Roman" w:hAnsi="Times New Roman"/>
          <w:i/>
          <w:szCs w:val="20"/>
        </w:rPr>
        <w:t xml:space="preserve"> 504 </w:t>
      </w:r>
      <w:proofErr w:type="spellStart"/>
      <w:r>
        <w:rPr>
          <w:rFonts w:ascii="Times New Roman" w:hAnsi="Times New Roman"/>
          <w:i/>
          <w:szCs w:val="20"/>
        </w:rPr>
        <w:t>và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quyền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của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quý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vị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nếu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quý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vị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không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đồng</w:t>
      </w:r>
      <w:proofErr w:type="spellEnd"/>
      <w:r>
        <w:rPr>
          <w:rFonts w:ascii="Times New Roman" w:hAnsi="Times New Roman"/>
          <w:i/>
          <w:szCs w:val="20"/>
        </w:rPr>
        <w:t xml:space="preserve"> ý </w:t>
      </w:r>
      <w:proofErr w:type="spellStart"/>
      <w:r>
        <w:rPr>
          <w:rFonts w:ascii="Times New Roman" w:hAnsi="Times New Roman"/>
          <w:i/>
          <w:szCs w:val="20"/>
        </w:rPr>
        <w:t>với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các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quyết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định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của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học</w:t>
      </w:r>
      <w:proofErr w:type="spellEnd"/>
      <w:r>
        <w:rPr>
          <w:rFonts w:ascii="Times New Roman" w:hAnsi="Times New Roman"/>
          <w:i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Cs w:val="20"/>
        </w:rPr>
        <w:t>khu</w:t>
      </w:r>
      <w:proofErr w:type="spellEnd"/>
      <w:r>
        <w:rPr>
          <w:rFonts w:ascii="Times New Roman" w:hAnsi="Times New Roman"/>
          <w:i/>
          <w:szCs w:val="20"/>
        </w:rPr>
        <w:t>.</w:t>
      </w:r>
    </w:p>
    <w:p w:rsidR="007451D2" w:rsidRDefault="007451D2" w:rsidP="00371B79">
      <w:pPr>
        <w:spacing w:after="0" w:line="240" w:lineRule="auto"/>
        <w:sectPr w:rsidR="007451D2" w:rsidSect="00A7094E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451D2" w:rsidRDefault="007451D2" w:rsidP="00371B79">
      <w:pPr>
        <w:spacing w:after="0" w:line="240" w:lineRule="auto"/>
      </w:pPr>
    </w:p>
    <w:p w:rsidR="007451D2" w:rsidRPr="00104AB7" w:rsidRDefault="007451D2" w:rsidP="00371B79">
      <w:pPr>
        <w:spacing w:after="0" w:line="240" w:lineRule="auto"/>
        <w:rPr>
          <w:sz w:val="28"/>
        </w:rPr>
        <w:sectPr w:rsidR="007451D2" w:rsidRPr="00104AB7" w:rsidSect="00E43FD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451D2" w:rsidRDefault="007451D2" w:rsidP="00E43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</w:pPr>
    </w:p>
    <w:p w:rsidR="007451D2" w:rsidRDefault="002B001E" w:rsidP="00E43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PHẦN 504 LÀ GÌ?</w:t>
      </w:r>
      <w:proofErr w:type="gramEnd"/>
    </w:p>
    <w:p w:rsidR="007451D2" w:rsidRDefault="002B001E" w:rsidP="00E43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Phần</w:t>
      </w:r>
      <w:proofErr w:type="spellEnd"/>
      <w:r>
        <w:rPr>
          <w:rFonts w:ascii="Times New Roman" w:hAnsi="Times New Roman"/>
        </w:rPr>
        <w:t xml:space="preserve"> 504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Hồi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1973, </w:t>
      </w:r>
      <w:proofErr w:type="spellStart"/>
      <w:r>
        <w:rPr>
          <w:rFonts w:ascii="Times New Roman" w:hAnsi="Times New Roman"/>
        </w:rPr>
        <w:t>thường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gọi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Phần</w:t>
      </w:r>
      <w:proofErr w:type="spellEnd"/>
      <w:r>
        <w:rPr>
          <w:rFonts w:ascii="Times New Roman" w:hAnsi="Times New Roman"/>
        </w:rPr>
        <w:t xml:space="preserve"> 504,”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liên</w:t>
      </w:r>
      <w:proofErr w:type="spellEnd"/>
      <w:r>
        <w:rPr>
          <w:rFonts w:ascii="Times New Roman" w:hAnsi="Times New Roman"/>
        </w:rPr>
        <w:t xml:space="preserve"> bang </w:t>
      </w:r>
      <w:proofErr w:type="spellStart"/>
      <w:r>
        <w:rPr>
          <w:rFonts w:ascii="Times New Roman" w:hAnsi="Times New Roman"/>
        </w:rPr>
        <w:t>nhằm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biệt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khuyết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tật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Phần</w:t>
      </w:r>
      <w:proofErr w:type="spellEnd"/>
      <w:r>
        <w:rPr>
          <w:rFonts w:ascii="Times New Roman" w:hAnsi="Times New Roman"/>
        </w:rPr>
        <w:t xml:space="preserve"> 504 </w:t>
      </w:r>
      <w:proofErr w:type="spellStart"/>
      <w:r>
        <w:rPr>
          <w:rFonts w:ascii="Times New Roman" w:hAnsi="Times New Roman"/>
        </w:rPr>
        <w:t>đảm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mọi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khuyết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mắc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khuyết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tật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kiện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bệnh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tâm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trọng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>.</w:t>
      </w:r>
      <w:proofErr w:type="gramEnd"/>
    </w:p>
    <w:p w:rsidR="007451D2" w:rsidRDefault="007451D2" w:rsidP="00E43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</w:pPr>
    </w:p>
    <w:p w:rsidR="00104AB7" w:rsidRDefault="00104AB7" w:rsidP="00371B7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451D2" w:rsidRDefault="002B001E" w:rsidP="00371B79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GIÁO DỤC CỦA TRẺ</w:t>
      </w:r>
    </w:p>
    <w:p w:rsidR="007451D2" w:rsidRDefault="002B001E" w:rsidP="00371B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quyền</w:t>
      </w:r>
      <w:proofErr w:type="spellEnd"/>
      <w:r>
        <w:rPr>
          <w:rFonts w:ascii="Times New Roman" w:hAnsi="Times New Roman"/>
        </w:rPr>
        <w:t>:</w:t>
      </w:r>
    </w:p>
    <w:p w:rsidR="007451D2" w:rsidRDefault="002B001E" w:rsidP="00E43FD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miễn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. </w:t>
      </w:r>
    </w:p>
    <w:p w:rsidR="007451D2" w:rsidRDefault="002B001E" w:rsidP="00E43FD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hưởng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biệt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>.</w:t>
      </w:r>
    </w:p>
    <w:p w:rsidR="007451D2" w:rsidRDefault="002B001E" w:rsidP="00E43FD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đẳng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khóa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khu</w:t>
      </w:r>
      <w:proofErr w:type="spellEnd"/>
      <w:r>
        <w:rPr>
          <w:rFonts w:ascii="Times New Roman" w:hAnsi="Times New Roman"/>
        </w:rPr>
        <w:t>.</w:t>
      </w:r>
    </w:p>
    <w:p w:rsidR="007451D2" w:rsidRDefault="002B001E" w:rsidP="00E43FD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cùng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mắc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khuyết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vi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. </w:t>
      </w:r>
    </w:p>
    <w:p w:rsidR="007451D2" w:rsidRDefault="002B001E" w:rsidP="00E43FD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mắc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khuyết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>.</w:t>
      </w:r>
    </w:p>
    <w:p w:rsidR="007451D2" w:rsidRDefault="002B001E" w:rsidP="00E43FD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chỗ</w:t>
      </w:r>
      <w:proofErr w:type="spellEnd"/>
      <w:r>
        <w:rPr>
          <w:rFonts w:ascii="Times New Roman" w:hAnsi="Times New Roman"/>
        </w:rPr>
        <w:t xml:space="preserve"> ở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phép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. </w:t>
      </w:r>
    </w:p>
    <w:p w:rsidR="007451D2" w:rsidRDefault="002B001E" w:rsidP="00E43FD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miễn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phí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chi </w:t>
      </w:r>
      <w:proofErr w:type="spellStart"/>
      <w:r>
        <w:rPr>
          <w:rFonts w:ascii="Times New Roman" w:hAnsi="Times New Roman"/>
        </w:rPr>
        <w:t>phí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mắc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khuyết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tật</w:t>
      </w:r>
      <w:proofErr w:type="spellEnd"/>
      <w:r>
        <w:rPr>
          <w:rFonts w:ascii="Times New Roman" w:hAnsi="Times New Roman"/>
        </w:rPr>
        <w:t xml:space="preserve">. </w:t>
      </w:r>
    </w:p>
    <w:p w:rsidR="007451D2" w:rsidRDefault="002B001E" w:rsidP="00E43FD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biệt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cần</w:t>
      </w:r>
      <w:proofErr w:type="spellEnd"/>
      <w:r>
        <w:rPr>
          <w:rFonts w:ascii="Times New Roman" w:hAnsi="Times New Roman"/>
        </w:rPr>
        <w:t xml:space="preserve">. </w:t>
      </w:r>
    </w:p>
    <w:p w:rsidR="007451D2" w:rsidRDefault="007451D2" w:rsidP="00371B79">
      <w:pPr>
        <w:spacing w:after="0" w:line="240" w:lineRule="auto"/>
      </w:pPr>
    </w:p>
    <w:p w:rsidR="007451D2" w:rsidRDefault="002B001E" w:rsidP="00650F3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HỌC BẠ CỦA TRẺ</w:t>
      </w:r>
    </w:p>
    <w:p w:rsidR="007451D2" w:rsidRDefault="002B001E" w:rsidP="00650F38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quyền</w:t>
      </w:r>
      <w:proofErr w:type="spellEnd"/>
      <w:r>
        <w:rPr>
          <w:rFonts w:ascii="Times New Roman" w:hAnsi="Times New Roman"/>
        </w:rPr>
        <w:t>:</w:t>
      </w:r>
    </w:p>
    <w:p w:rsidR="007451D2" w:rsidRDefault="002B001E" w:rsidP="00E43FD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Xem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chi </w:t>
      </w:r>
      <w:proofErr w:type="spellStart"/>
      <w:r>
        <w:rPr>
          <w:rFonts w:ascii="Times New Roman" w:hAnsi="Times New Roman"/>
        </w:rPr>
        <w:t>phí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chi </w:t>
      </w:r>
      <w:proofErr w:type="spellStart"/>
      <w:r>
        <w:rPr>
          <w:rFonts w:ascii="Times New Roman" w:hAnsi="Times New Roman"/>
        </w:rPr>
        <w:t>phí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bạ</w:t>
      </w:r>
      <w:proofErr w:type="spellEnd"/>
      <w:r>
        <w:rPr>
          <w:rFonts w:ascii="Times New Roman" w:hAnsi="Times New Roman"/>
        </w:rPr>
        <w:t xml:space="preserve">. </w:t>
      </w:r>
    </w:p>
    <w:p w:rsidR="007451D2" w:rsidRDefault="002B001E" w:rsidP="00E43FD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đổi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tin </w:t>
      </w:r>
      <w:proofErr w:type="spellStart"/>
      <w:r>
        <w:rPr>
          <w:rFonts w:ascii="Times New Roman" w:hAnsi="Times New Roman"/>
        </w:rPr>
        <w:t>rằng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xác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lệch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vi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riêng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trẻ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này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buổi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. </w:t>
      </w:r>
    </w:p>
    <w:p w:rsidR="007451D2" w:rsidRDefault="002B001E" w:rsidP="00E43FD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Phản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hồi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trẻ</w:t>
      </w:r>
      <w:proofErr w:type="spellEnd"/>
      <w:r>
        <w:rPr>
          <w:rFonts w:ascii="Times New Roman" w:hAnsi="Times New Roman"/>
        </w:rPr>
        <w:t>.</w:t>
      </w:r>
    </w:p>
    <w:p w:rsidR="007451D2" w:rsidRDefault="007451D2" w:rsidP="003D5873">
      <w:pPr>
        <w:spacing w:after="0" w:line="240" w:lineRule="auto"/>
        <w:rPr>
          <w:rFonts w:eastAsiaTheme="minorEastAsia"/>
          <w:lang w:eastAsia="zh-CN"/>
        </w:rPr>
      </w:pPr>
    </w:p>
    <w:p w:rsidR="007451D2" w:rsidRDefault="002B001E" w:rsidP="003D587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QUY TRÌNH PHẦN 504</w:t>
      </w:r>
    </w:p>
    <w:p w:rsidR="007451D2" w:rsidRDefault="002B001E" w:rsidP="00371B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theo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Phần</w:t>
      </w:r>
      <w:proofErr w:type="spellEnd"/>
      <w:r>
        <w:rPr>
          <w:rFonts w:ascii="Times New Roman" w:hAnsi="Times New Roman"/>
        </w:rPr>
        <w:t xml:space="preserve"> 504 hay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quyền</w:t>
      </w:r>
      <w:proofErr w:type="spellEnd"/>
      <w:r>
        <w:rPr>
          <w:rFonts w:ascii="Times New Roman" w:hAnsi="Times New Roman"/>
        </w:rPr>
        <w:t>:</w:t>
      </w:r>
    </w:p>
    <w:p w:rsidR="007451D2" w:rsidRDefault="002B001E" w:rsidP="00E43FD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trẻ</w:t>
      </w:r>
      <w:proofErr w:type="spellEnd"/>
      <w:r>
        <w:rPr>
          <w:rFonts w:ascii="Times New Roman" w:hAnsi="Times New Roman"/>
        </w:rPr>
        <w:t xml:space="preserve">. </w:t>
      </w:r>
    </w:p>
    <w:p w:rsidR="007451D2" w:rsidRDefault="002B001E" w:rsidP="003D587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nhóm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gọi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"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 xml:space="preserve"> 504", </w:t>
      </w:r>
      <w:proofErr w:type="spellStart"/>
      <w:r>
        <w:rPr>
          <w:rFonts w:ascii="Times New Roman" w:hAnsi="Times New Roman"/>
        </w:rPr>
        <w:t>kể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rõ</w:t>
      </w:r>
      <w:proofErr w:type="spellEnd"/>
      <w:r>
        <w:rPr>
          <w:rFonts w:ascii="Times New Roman" w:hAnsi="Times New Roman"/>
        </w:rPr>
        <w:t xml:space="preserve"> con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hiểu</w:t>
      </w:r>
      <w:proofErr w:type="spellEnd"/>
      <w:r>
        <w:rPr>
          <w:rFonts w:ascii="Times New Roman" w:hAnsi="Times New Roman"/>
        </w:rPr>
        <w:t xml:space="preserve"> ý </w:t>
      </w:r>
      <w:proofErr w:type="spellStart"/>
      <w:r>
        <w:rPr>
          <w:rFonts w:ascii="Times New Roman" w:hAnsi="Times New Roman"/>
        </w:rPr>
        <w:t>nghĩa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tin </w:t>
      </w:r>
      <w:proofErr w:type="spellStart"/>
      <w:r>
        <w:rPr>
          <w:rFonts w:ascii="Times New Roman" w:hAnsi="Times New Roman"/>
        </w:rPr>
        <w:t>đánh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chọn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sẵn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. </w:t>
      </w:r>
    </w:p>
    <w:p w:rsidR="007451D2" w:rsidRDefault="002B001E" w:rsidP="00E43FD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</w:t>
      </w:r>
      <w:bookmarkStart w:id="0" w:name="_GoBack"/>
      <w:bookmarkEnd w:id="0"/>
      <w:r>
        <w:rPr>
          <w:rFonts w:ascii="Times New Roman" w:hAnsi="Times New Roman"/>
        </w:rPr>
        <w:t>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nguồn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nhau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giới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thiệu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bệnh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hồ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sơ</w:t>
      </w:r>
      <w:proofErr w:type="spellEnd"/>
      <w:r>
        <w:rPr>
          <w:rFonts w:ascii="Times New Roman" w:hAnsi="Times New Roman"/>
        </w:rPr>
        <w:t xml:space="preserve"> y </w:t>
      </w:r>
      <w:proofErr w:type="spellStart"/>
      <w:r>
        <w:rPr>
          <w:rFonts w:ascii="Times New Roman" w:hAnsi="Times New Roman"/>
        </w:rPr>
        <w:t>tế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huynh</w:t>
      </w:r>
      <w:proofErr w:type="spellEnd"/>
      <w:r>
        <w:rPr>
          <w:rFonts w:ascii="Times New Roman" w:hAnsi="Times New Roman"/>
        </w:rPr>
        <w:t xml:space="preserve">. </w:t>
      </w:r>
    </w:p>
    <w:p w:rsidR="007451D2" w:rsidRDefault="002B001E" w:rsidP="00E43FD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chối</w:t>
      </w:r>
      <w:proofErr w:type="spellEnd"/>
      <w:r>
        <w:rPr>
          <w:rFonts w:ascii="Times New Roman" w:hAnsi="Times New Roman"/>
        </w:rPr>
        <w:t xml:space="preserve"> ý </w:t>
      </w:r>
      <w:proofErr w:type="spellStart"/>
      <w:r>
        <w:rPr>
          <w:rFonts w:ascii="Times New Roman" w:hAnsi="Times New Roman"/>
        </w:rPr>
        <w:t>kiến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ban </w:t>
      </w:r>
      <w:proofErr w:type="spellStart"/>
      <w:r>
        <w:rPr>
          <w:rFonts w:ascii="Times New Roman" w:hAnsi="Times New Roman"/>
        </w:rPr>
        <w:t>đầu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trẻ</w:t>
      </w:r>
      <w:proofErr w:type="spellEnd"/>
      <w:r>
        <w:rPr>
          <w:rFonts w:ascii="Times New Roman" w:hAnsi="Times New Roman"/>
        </w:rPr>
        <w:t>.</w:t>
      </w:r>
    </w:p>
    <w:p w:rsidR="007451D2" w:rsidRDefault="002B001E" w:rsidP="00371B79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con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theo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Phần</w:t>
      </w:r>
      <w:proofErr w:type="spellEnd"/>
      <w:r>
        <w:rPr>
          <w:rFonts w:ascii="Times New Roman" w:hAnsi="Times New Roman"/>
        </w:rPr>
        <w:t xml:space="preserve"> 504, </w:t>
      </w:r>
      <w:proofErr w:type="spellStart"/>
      <w:r>
        <w:rPr>
          <w:rFonts w:ascii="Times New Roman" w:hAnsi="Times New Roman"/>
        </w:rPr>
        <w:t>thì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kỳ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đổi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trẻ</w:t>
      </w:r>
      <w:proofErr w:type="spellEnd"/>
      <w:r>
        <w:rPr>
          <w:rFonts w:ascii="Times New Roman" w:hAnsi="Times New Roman"/>
        </w:rPr>
        <w:t>.</w:t>
      </w:r>
    </w:p>
    <w:p w:rsidR="007451D2" w:rsidRDefault="007451D2" w:rsidP="00371B79">
      <w:pPr>
        <w:spacing w:after="0" w:line="240" w:lineRule="auto"/>
      </w:pPr>
    </w:p>
    <w:p w:rsidR="007451D2" w:rsidRDefault="002B001E" w:rsidP="00371B79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NẾU QUÝ VỊ KHÔNG ĐỒNG Ý VỚI QUYẾT ĐỊNH CỦA HỌC KHU</w:t>
      </w:r>
    </w:p>
    <w:p w:rsidR="007451D2" w:rsidRDefault="002B001E" w:rsidP="00187B0B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ý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theo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Phần</w:t>
      </w:r>
      <w:proofErr w:type="spellEnd"/>
      <w:r>
        <w:rPr>
          <w:rFonts w:ascii="Times New Roman" w:hAnsi="Times New Roman"/>
        </w:rPr>
        <w:t xml:space="preserve"> 504, </w:t>
      </w:r>
      <w:proofErr w:type="spellStart"/>
      <w:r>
        <w:rPr>
          <w:rFonts w:ascii="Times New Roman" w:hAnsi="Times New Roman"/>
        </w:rPr>
        <w:t>thì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buổi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hòa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con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buổi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gửi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Phần</w:t>
      </w:r>
      <w:proofErr w:type="spellEnd"/>
      <w:r>
        <w:rPr>
          <w:rFonts w:ascii="Times New Roman" w:hAnsi="Times New Roman"/>
        </w:rPr>
        <w:t xml:space="preserve"> 504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: </w:t>
      </w:r>
    </w:p>
    <w:p w:rsidR="007451D2" w:rsidRDefault="007451D2" w:rsidP="00187B0B">
      <w:pPr>
        <w:spacing w:after="0" w:line="240" w:lineRule="auto"/>
      </w:pPr>
    </w:p>
    <w:p w:rsidR="00104AB7" w:rsidRPr="00E214C0" w:rsidRDefault="00104AB7" w:rsidP="00104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highlight w:val="yellow"/>
        </w:rPr>
      </w:pPr>
      <w:r w:rsidRPr="00E214C0">
        <w:rPr>
          <w:rFonts w:cstheme="minorHAnsi"/>
          <w:highlight w:val="yellow"/>
        </w:rPr>
        <w:t>[</w:t>
      </w:r>
      <w:r w:rsidRPr="0079045B">
        <w:rPr>
          <w:rFonts w:cstheme="minorHAnsi"/>
          <w:highlight w:val="yellow"/>
          <w:u w:val="single"/>
        </w:rPr>
        <w:t xml:space="preserve">Insert Section 504 Coordinator’s </w:t>
      </w:r>
      <w:r w:rsidRPr="00E214C0">
        <w:rPr>
          <w:rFonts w:cstheme="minorHAnsi"/>
          <w:highlight w:val="yellow"/>
          <w:u w:val="single"/>
        </w:rPr>
        <w:t>Name</w:t>
      </w:r>
      <w:r w:rsidRPr="00E214C0">
        <w:rPr>
          <w:rFonts w:cstheme="minorHAnsi"/>
          <w:highlight w:val="yellow"/>
        </w:rPr>
        <w:t>]</w:t>
      </w:r>
    </w:p>
    <w:p w:rsidR="00104AB7" w:rsidRPr="00E214C0" w:rsidRDefault="00104AB7" w:rsidP="00104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highlight w:val="yellow"/>
        </w:rPr>
      </w:pPr>
      <w:r w:rsidRPr="00E214C0">
        <w:rPr>
          <w:rFonts w:cstheme="minorHAnsi"/>
          <w:highlight w:val="yellow"/>
        </w:rPr>
        <w:t>[</w:t>
      </w:r>
      <w:r w:rsidRPr="00E214C0">
        <w:rPr>
          <w:rFonts w:cstheme="minorHAnsi"/>
          <w:highlight w:val="yellow"/>
          <w:u w:val="single"/>
        </w:rPr>
        <w:t>Address</w:t>
      </w:r>
      <w:r w:rsidRPr="00E214C0">
        <w:rPr>
          <w:rFonts w:cstheme="minorHAnsi"/>
          <w:highlight w:val="yellow"/>
        </w:rPr>
        <w:t>]</w:t>
      </w:r>
    </w:p>
    <w:p w:rsidR="00104AB7" w:rsidRPr="00E214C0" w:rsidRDefault="00104AB7" w:rsidP="00104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highlight w:val="yellow"/>
        </w:rPr>
      </w:pPr>
      <w:r w:rsidRPr="00E214C0">
        <w:rPr>
          <w:rFonts w:cstheme="minorHAnsi"/>
          <w:highlight w:val="yellow"/>
        </w:rPr>
        <w:t>[</w:t>
      </w:r>
      <w:r w:rsidRPr="00E214C0">
        <w:rPr>
          <w:rFonts w:cstheme="minorHAnsi"/>
          <w:highlight w:val="yellow"/>
          <w:u w:val="single"/>
        </w:rPr>
        <w:t>City, State, Zip</w:t>
      </w:r>
      <w:r w:rsidRPr="00E214C0">
        <w:rPr>
          <w:rFonts w:cstheme="minorHAnsi"/>
          <w:highlight w:val="yellow"/>
        </w:rPr>
        <w:t>]</w:t>
      </w:r>
    </w:p>
    <w:p w:rsidR="00104AB7" w:rsidRPr="00E43FD1" w:rsidRDefault="00104AB7" w:rsidP="00104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theme="minorHAnsi"/>
        </w:rPr>
      </w:pPr>
      <w:r w:rsidRPr="00E214C0">
        <w:rPr>
          <w:rFonts w:cstheme="minorHAnsi"/>
          <w:highlight w:val="yellow"/>
        </w:rPr>
        <w:t>[</w:t>
      </w:r>
      <w:r w:rsidRPr="00E214C0">
        <w:rPr>
          <w:rFonts w:cstheme="minorHAnsi"/>
          <w:highlight w:val="yellow"/>
          <w:u w:val="single"/>
        </w:rPr>
        <w:t>Phone</w:t>
      </w:r>
      <w:r w:rsidRPr="00E214C0">
        <w:rPr>
          <w:rFonts w:cstheme="minorHAnsi"/>
          <w:highlight w:val="yellow"/>
        </w:rPr>
        <w:t>], [</w:t>
      </w:r>
      <w:r w:rsidRPr="00E214C0">
        <w:rPr>
          <w:rFonts w:cstheme="minorHAnsi"/>
          <w:highlight w:val="yellow"/>
          <w:u w:val="single"/>
        </w:rPr>
        <w:t>E-mail</w:t>
      </w:r>
      <w:r w:rsidRPr="00E214C0">
        <w:rPr>
          <w:rFonts w:cstheme="minorHAnsi"/>
          <w:highlight w:val="yellow"/>
        </w:rPr>
        <w:t>]</w:t>
      </w:r>
    </w:p>
    <w:p w:rsidR="007451D2" w:rsidRDefault="007451D2" w:rsidP="00371B79">
      <w:pPr>
        <w:spacing w:after="0" w:line="240" w:lineRule="auto"/>
      </w:pPr>
    </w:p>
    <w:p w:rsidR="007451D2" w:rsidRDefault="002B001E" w:rsidP="00E43FD1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biệt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Quyền</w:t>
      </w:r>
      <w:proofErr w:type="spellEnd"/>
      <w:r>
        <w:rPr>
          <w:rFonts w:ascii="Times New Roman" w:hAnsi="Times New Roman"/>
        </w:rPr>
        <w:t xml:space="preserve"> (OCR) </w:t>
      </w:r>
      <w:proofErr w:type="spellStart"/>
      <w:r>
        <w:rPr>
          <w:rFonts w:ascii="Times New Roman" w:hAnsi="Times New Roman"/>
        </w:rPr>
        <w:t>thuộc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kỳ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tòa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liên</w:t>
      </w:r>
      <w:proofErr w:type="spellEnd"/>
      <w:r>
        <w:rPr>
          <w:rFonts w:ascii="Times New Roman" w:hAnsi="Times New Roman"/>
        </w:rPr>
        <w:t xml:space="preserve"> bang. </w:t>
      </w:r>
      <w:proofErr w:type="spellStart"/>
      <w:r>
        <w:rPr>
          <w:rFonts w:ascii="Times New Roman" w:hAnsi="Times New Roman"/>
        </w:rPr>
        <w:t>Nói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chung</w:t>
      </w:r>
      <w:proofErr w:type="spellEnd"/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nại</w:t>
      </w:r>
      <w:proofErr w:type="spellEnd"/>
      <w:r>
        <w:rPr>
          <w:rFonts w:ascii="Times New Roman" w:hAnsi="Times New Roman"/>
        </w:rPr>
        <w:t xml:space="preserve"> OCR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vòng</w:t>
      </w:r>
      <w:proofErr w:type="spellEnd"/>
      <w:r>
        <w:rPr>
          <w:rFonts w:ascii="Times New Roman" w:hAnsi="Times New Roman"/>
        </w:rPr>
        <w:t xml:space="preserve"> 180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tin </w:t>
      </w:r>
      <w:proofErr w:type="spellStart"/>
      <w:r>
        <w:rPr>
          <w:rFonts w:ascii="Times New Roman" w:hAnsi="Times New Roman"/>
        </w:rPr>
        <w:t>rằng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biệt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đặt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915 Second Ave, Room 3310, Seattle, WA 98174-1099.</w:t>
      </w:r>
      <w:proofErr w:type="gramEnd"/>
    </w:p>
    <w:p w:rsidR="007451D2" w:rsidRDefault="002B001E" w:rsidP="00E43FD1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thoại</w:t>
      </w:r>
      <w:proofErr w:type="spellEnd"/>
      <w:r>
        <w:rPr>
          <w:rFonts w:ascii="Times New Roman" w:hAnsi="Times New Roman"/>
        </w:rPr>
        <w:t>: 206-607-1600/TDD: 206-607-1647</w:t>
      </w:r>
    </w:p>
    <w:p w:rsidR="007451D2" w:rsidRDefault="002B001E" w:rsidP="00371B79">
      <w:pPr>
        <w:spacing w:line="240" w:lineRule="auto"/>
      </w:pPr>
      <w:proofErr w:type="spellStart"/>
      <w:r>
        <w:rPr>
          <w:rFonts w:ascii="Times New Roman" w:hAnsi="Times New Roman"/>
        </w:rPr>
        <w:t>Trang</w:t>
      </w:r>
      <w:proofErr w:type="spellEnd"/>
      <w:r>
        <w:rPr>
          <w:rFonts w:ascii="Times New Roman" w:hAnsi="Times New Roman"/>
        </w:rPr>
        <w:t xml:space="preserve"> web: </w:t>
      </w:r>
      <w:hyperlink r:id="rId9" w:history="1">
        <w:r>
          <w:rPr>
            <w:rStyle w:val="Hyperlink"/>
          </w:rPr>
          <w:t>www.ed.gov/OCR</w:t>
        </w:r>
      </w:hyperlink>
      <w:r>
        <w:t>.</w:t>
      </w:r>
    </w:p>
    <w:sectPr w:rsidR="007451D2" w:rsidSect="00E43FD1">
      <w:type w:val="continuous"/>
      <w:pgSz w:w="12240" w:h="15840"/>
      <w:pgMar w:top="720" w:right="720" w:bottom="720" w:left="720" w:header="720" w:footer="720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7D5" w:rsidRDefault="00DB07D5" w:rsidP="00560D5E">
      <w:pPr>
        <w:spacing w:after="0" w:line="240" w:lineRule="auto"/>
      </w:pPr>
      <w:r>
        <w:separator/>
      </w:r>
    </w:p>
  </w:endnote>
  <w:endnote w:type="continuationSeparator" w:id="0">
    <w:p w:rsidR="00DB07D5" w:rsidRDefault="00DB07D5" w:rsidP="0056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2FA" w:rsidRPr="00FB52FA" w:rsidRDefault="00FB52FA">
    <w:pPr>
      <w:pStyle w:val="Footer"/>
      <w:rPr>
        <w:color w:val="7F7F7F" w:themeColor="text1" w:themeTint="80"/>
        <w:sz w:val="16"/>
      </w:rPr>
    </w:pPr>
    <w:r w:rsidRPr="00FB52FA">
      <w:rPr>
        <w:color w:val="7F7F7F" w:themeColor="text1" w:themeTint="80"/>
        <w:sz w:val="16"/>
      </w:rPr>
      <w:t>Your Rights Under Section 504 (</w:t>
    </w:r>
    <w:r w:rsidRPr="00FB52FA">
      <w:rPr>
        <w:color w:val="7F7F7F" w:themeColor="text1" w:themeTint="80"/>
        <w:sz w:val="16"/>
      </w:rPr>
      <w:t>Vietnamese</w:t>
    </w:r>
    <w:r w:rsidRPr="00FB52FA">
      <w:rPr>
        <w:color w:val="7F7F7F" w:themeColor="text1" w:themeTint="80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7D5" w:rsidRDefault="00DB07D5" w:rsidP="00560D5E">
      <w:pPr>
        <w:spacing w:after="0" w:line="240" w:lineRule="auto"/>
      </w:pPr>
      <w:r>
        <w:separator/>
      </w:r>
    </w:p>
  </w:footnote>
  <w:footnote w:type="continuationSeparator" w:id="0">
    <w:p w:rsidR="00DB07D5" w:rsidRDefault="00DB07D5" w:rsidP="00560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4C0"/>
    <w:multiLevelType w:val="hybridMultilevel"/>
    <w:tmpl w:val="56CE7EAE"/>
    <w:lvl w:ilvl="0" w:tplc="CFC691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BC2F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D7A1E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0A30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C63B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AA041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E676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9A1F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3F433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92404C"/>
    <w:multiLevelType w:val="hybridMultilevel"/>
    <w:tmpl w:val="AD2C0958"/>
    <w:lvl w:ilvl="0" w:tplc="651EC8D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584A7026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FCE78A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2E4C38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438B5D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0BE857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502E2F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08063F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022ADE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98C3EAC"/>
    <w:multiLevelType w:val="hybridMultilevel"/>
    <w:tmpl w:val="0FE4E4C0"/>
    <w:lvl w:ilvl="0" w:tplc="CE88E0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F6210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D80E81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5DEB50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26E1A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104F6E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F86A29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29A0AC6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FF249DA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BF16EF7"/>
    <w:multiLevelType w:val="hybridMultilevel"/>
    <w:tmpl w:val="7206CD9A"/>
    <w:lvl w:ilvl="0" w:tplc="322621C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676AC0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7182A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6872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4A8B0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44F3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B2F3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846B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8E97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7A4281"/>
    <w:multiLevelType w:val="hybridMultilevel"/>
    <w:tmpl w:val="D9F2CB92"/>
    <w:lvl w:ilvl="0" w:tplc="B672C6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EABE097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0FE7A5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AB4B02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5303E0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81CC5A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1D6D31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6BA256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BC822E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2855A5A"/>
    <w:multiLevelType w:val="hybridMultilevel"/>
    <w:tmpl w:val="0E8ED000"/>
    <w:lvl w:ilvl="0" w:tplc="0C240B0E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9DBA93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78E30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746D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B865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2A8E9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0A89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9A5B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582BB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A73B66"/>
    <w:multiLevelType w:val="hybridMultilevel"/>
    <w:tmpl w:val="D0643B96"/>
    <w:lvl w:ilvl="0" w:tplc="7340D0F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2786CC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10600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824D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9AF6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38611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6437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FEC9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5F6BD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20347B"/>
    <w:multiLevelType w:val="hybridMultilevel"/>
    <w:tmpl w:val="3F367A1A"/>
    <w:lvl w:ilvl="0" w:tplc="453698BE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5100E7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F764D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A274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7808E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332DA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F63C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7639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CAB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9643F8"/>
    <w:multiLevelType w:val="hybridMultilevel"/>
    <w:tmpl w:val="865275FA"/>
    <w:lvl w:ilvl="0" w:tplc="1214DE3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958C44E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66FFD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AE6656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C02225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1D2141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41E357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E86CB8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A0251A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C4B2B25"/>
    <w:multiLevelType w:val="hybridMultilevel"/>
    <w:tmpl w:val="AF8AD082"/>
    <w:lvl w:ilvl="0" w:tplc="309C1A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8C914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A96FF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548E9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9EA4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D245B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7A70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A4C8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37877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244A"/>
    <w:rsid w:val="00104AB7"/>
    <w:rsid w:val="002B001E"/>
    <w:rsid w:val="00547D29"/>
    <w:rsid w:val="00632B4C"/>
    <w:rsid w:val="007451D2"/>
    <w:rsid w:val="00CE244A"/>
    <w:rsid w:val="00DB07D5"/>
    <w:rsid w:val="00EB59B5"/>
    <w:rsid w:val="00FB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393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244A"/>
    <w:pPr>
      <w:ind w:left="720"/>
      <w:contextualSpacing/>
    </w:pPr>
  </w:style>
  <w:style w:type="character" w:styleId="Hyperlink">
    <w:name w:val="Hyperlink"/>
    <w:basedOn w:val="DefaultParagraphFont"/>
    <w:rsid w:val="00836A4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56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60D5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6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60D5E"/>
    <w:rPr>
      <w:rFonts w:cs="Times New Roman"/>
    </w:rPr>
  </w:style>
  <w:style w:type="character" w:styleId="FollowedHyperlink">
    <w:name w:val="FollowedHyperlink"/>
    <w:basedOn w:val="DefaultParagraphFont"/>
    <w:semiHidden/>
    <w:rsid w:val="00A27A0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8C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8C70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D7B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D7B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3D7BC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D7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3D7BC7"/>
    <w:rPr>
      <w:rFonts w:cs="Times New Roman"/>
      <w:b/>
      <w:bCs/>
      <w:sz w:val="20"/>
      <w:szCs w:val="20"/>
    </w:rPr>
  </w:style>
  <w:style w:type="paragraph" w:styleId="Revision">
    <w:name w:val="Revision"/>
    <w:hidden/>
    <w:semiHidden/>
    <w:rsid w:val="003D7BC7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.gov/OC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3237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Rights Under Section 504</vt:lpstr>
    </vt:vector>
  </TitlesOfParts>
  <Company>Microsoft</Company>
  <LinksUpToDate>false</LinksUpToDate>
  <CharactersWithSpaces>4127</CharactersWithSpaces>
  <SharedDoc>false</SharedDoc>
  <HLinks>
    <vt:vector size="6" baseType="variant">
      <vt:variant>
        <vt:i4>4390986</vt:i4>
      </vt:variant>
      <vt:variant>
        <vt:i4>0</vt:i4>
      </vt:variant>
      <vt:variant>
        <vt:i4>0</vt:i4>
      </vt:variant>
      <vt:variant>
        <vt:i4>5</vt:i4>
      </vt:variant>
      <vt:variant>
        <vt:lpwstr>http://www.ed.gov/OCR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Rights Under Section 504</dc:title>
  <dc:creator>OSPI Equity &amp; Civil Rights</dc:creator>
  <cp:lastModifiedBy>Calandra Sechrist</cp:lastModifiedBy>
  <cp:revision>4</cp:revision>
  <cp:lastPrinted>2012-04-27T19:42:00Z</cp:lastPrinted>
  <dcterms:created xsi:type="dcterms:W3CDTF">2012-06-20T14:56:00Z</dcterms:created>
  <dcterms:modified xsi:type="dcterms:W3CDTF">2012-07-05T17:22:00Z</dcterms:modified>
</cp:coreProperties>
</file>