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3B" w:rsidRPr="00692214" w:rsidRDefault="00DE593B" w:rsidP="00D00501">
      <w:r w:rsidRPr="00692214">
        <w:t>District:</w:t>
      </w:r>
      <w:bookmarkStart w:id="0" w:name="Text1"/>
      <w:r w:rsidR="0068594B" w:rsidRPr="00692214">
        <w:t xml:space="preserve"> </w:t>
      </w:r>
      <w:r w:rsidR="0068594B" w:rsidRPr="0069221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594B" w:rsidRPr="00692214">
        <w:rPr>
          <w:u w:val="single"/>
        </w:rPr>
        <w:instrText xml:space="preserve"> FORMTEXT </w:instrText>
      </w:r>
      <w:r w:rsidR="0068594B" w:rsidRPr="00692214">
        <w:rPr>
          <w:u w:val="single"/>
        </w:rPr>
      </w:r>
      <w:r w:rsidR="0068594B" w:rsidRPr="00692214">
        <w:rPr>
          <w:u w:val="single"/>
        </w:rPr>
        <w:fldChar w:fldCharType="separate"/>
      </w:r>
      <w:bookmarkStart w:id="1" w:name="_GoBack"/>
      <w:bookmarkEnd w:id="1"/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u w:val="single"/>
        </w:rPr>
        <w:fldChar w:fldCharType="end"/>
      </w:r>
      <w:bookmarkEnd w:id="0"/>
      <w:r w:rsidR="0068594B" w:rsidRPr="00692214">
        <w:rPr>
          <w:u w:val="single"/>
        </w:rPr>
        <w:tab/>
      </w:r>
      <w:r w:rsidRPr="00692214">
        <w:rPr>
          <w:u w:val="single"/>
        </w:rPr>
        <w:t xml:space="preserve"> </w:t>
      </w:r>
      <w:r w:rsidRPr="00692214">
        <w:t>Date Purchased/Contract Date:</w:t>
      </w:r>
      <w:bookmarkStart w:id="2" w:name="Text2"/>
      <w:r w:rsidR="0068594B" w:rsidRPr="00692214">
        <w:t xml:space="preserve"> </w:t>
      </w:r>
      <w:r w:rsidR="0068594B" w:rsidRPr="0069221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594B" w:rsidRPr="00692214">
        <w:rPr>
          <w:u w:val="single"/>
        </w:rPr>
        <w:instrText xml:space="preserve"> FORMTEXT </w:instrText>
      </w:r>
      <w:r w:rsidR="0068594B" w:rsidRPr="00692214">
        <w:rPr>
          <w:u w:val="single"/>
        </w:rPr>
      </w:r>
      <w:r w:rsidR="0068594B" w:rsidRPr="00692214">
        <w:rPr>
          <w:u w:val="single"/>
        </w:rPr>
        <w:fldChar w:fldCharType="separate"/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u w:val="single"/>
        </w:rPr>
        <w:fldChar w:fldCharType="end"/>
      </w:r>
      <w:bookmarkEnd w:id="2"/>
      <w:r w:rsidR="0068594B" w:rsidRPr="00692214">
        <w:rPr>
          <w:u w:val="single"/>
        </w:rPr>
        <w:tab/>
      </w:r>
    </w:p>
    <w:p w:rsidR="00DE593B" w:rsidRPr="00692214" w:rsidRDefault="00DE593B" w:rsidP="00D00501">
      <w:pPr>
        <w:rPr>
          <w:u w:val="single"/>
        </w:rPr>
      </w:pPr>
      <w:r w:rsidRPr="00692214">
        <w:t>Description of</w:t>
      </w:r>
      <w:r w:rsidR="00763961" w:rsidRPr="00692214">
        <w:t xml:space="preserve"> </w:t>
      </w:r>
      <w:r w:rsidR="008C346A">
        <w:t xml:space="preserve">purchased/contracted </w:t>
      </w:r>
      <w:r w:rsidR="00763961" w:rsidRPr="00692214">
        <w:t>ALE</w:t>
      </w:r>
      <w:r w:rsidRPr="00692214">
        <w:t xml:space="preserve"> experience, service, or activity:</w:t>
      </w:r>
      <w:bookmarkStart w:id="3" w:name="Text3"/>
      <w:r w:rsidR="0068594B" w:rsidRPr="00692214">
        <w:t xml:space="preserve"> </w:t>
      </w:r>
      <w:r w:rsidR="0068594B" w:rsidRPr="0069221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594B" w:rsidRPr="00692214">
        <w:rPr>
          <w:u w:val="single"/>
        </w:rPr>
        <w:instrText xml:space="preserve"> FORMTEXT </w:instrText>
      </w:r>
      <w:r w:rsidR="00D00501" w:rsidRPr="00692214">
        <w:rPr>
          <w:u w:val="single"/>
        </w:rPr>
      </w:r>
      <w:r w:rsidR="0068594B" w:rsidRPr="00692214">
        <w:rPr>
          <w:u w:val="single"/>
        </w:rPr>
        <w:fldChar w:fldCharType="separate"/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noProof/>
          <w:u w:val="single"/>
        </w:rPr>
        <w:t> </w:t>
      </w:r>
      <w:r w:rsidR="0068594B" w:rsidRPr="00692214">
        <w:rPr>
          <w:u w:val="single"/>
        </w:rPr>
        <w:fldChar w:fldCharType="end"/>
      </w:r>
      <w:bookmarkEnd w:id="3"/>
      <w:r w:rsidR="0068594B" w:rsidRPr="00692214">
        <w:rPr>
          <w:u w:val="single"/>
        </w:rPr>
        <w:tab/>
      </w:r>
    </w:p>
    <w:p w:rsidR="002B1A58" w:rsidRPr="00692214" w:rsidRDefault="00544220" w:rsidP="00A47729">
      <w:pPr>
        <w:shd w:val="clear" w:color="auto" w:fill="FFFF99"/>
        <w:spacing w:after="0" w:line="240" w:lineRule="auto"/>
        <w:rPr>
          <w:rFonts w:cs="Calibri"/>
          <w:i/>
        </w:rPr>
      </w:pPr>
      <w:r w:rsidRPr="00692214">
        <w:rPr>
          <w:rFonts w:cs="Calibri"/>
          <w:i/>
        </w:rPr>
        <w:t xml:space="preserve">This checklist </w:t>
      </w:r>
      <w:r w:rsidR="006C462C" w:rsidRPr="00692214">
        <w:rPr>
          <w:rFonts w:cs="Calibri"/>
          <w:i/>
        </w:rPr>
        <w:t>is</w:t>
      </w:r>
      <w:r w:rsidRPr="00692214">
        <w:rPr>
          <w:rFonts w:cs="Calibri"/>
          <w:i/>
        </w:rPr>
        <w:t xml:space="preserve"> to assist ALE programs in self-assessing compliance with </w:t>
      </w:r>
      <w:r w:rsidR="001C1269" w:rsidRPr="00692214">
        <w:rPr>
          <w:rFonts w:cs="Calibri"/>
          <w:bCs/>
          <w:i/>
        </w:rPr>
        <w:t>WAC 392-121-182 (6</w:t>
      </w:r>
      <w:proofErr w:type="gramStart"/>
      <w:r w:rsidR="001C1269" w:rsidRPr="00692214">
        <w:rPr>
          <w:rFonts w:cs="Calibri"/>
          <w:bCs/>
          <w:i/>
        </w:rPr>
        <w:t>)(</w:t>
      </w:r>
      <w:proofErr w:type="gramEnd"/>
      <w:r w:rsidR="001C1269" w:rsidRPr="00692214">
        <w:rPr>
          <w:rFonts w:cs="Calibri"/>
          <w:bCs/>
          <w:i/>
        </w:rPr>
        <w:t>i)</w:t>
      </w:r>
      <w:r w:rsidR="006C462C" w:rsidRPr="00692214">
        <w:rPr>
          <w:rFonts w:cs="Calibri"/>
          <w:bCs/>
          <w:i/>
        </w:rPr>
        <w:t>, the</w:t>
      </w:r>
      <w:r w:rsidR="001C1269" w:rsidRPr="00692214">
        <w:rPr>
          <w:rFonts w:cs="Calibri"/>
          <w:bCs/>
          <w:i/>
        </w:rPr>
        <w:t xml:space="preserve"> </w:t>
      </w:r>
      <w:r w:rsidRPr="00692214">
        <w:rPr>
          <w:rFonts w:cs="Calibri"/>
          <w:i/>
        </w:rPr>
        <w:t>s</w:t>
      </w:r>
      <w:r w:rsidR="001C1269" w:rsidRPr="00692214">
        <w:rPr>
          <w:rFonts w:cs="Calibri"/>
          <w:i/>
        </w:rPr>
        <w:t>ubstantially similar</w:t>
      </w:r>
      <w:r w:rsidR="006C462C" w:rsidRPr="00692214">
        <w:rPr>
          <w:rFonts w:cs="Calibri"/>
          <w:i/>
        </w:rPr>
        <w:t xml:space="preserve"> requirement</w:t>
      </w:r>
      <w:r w:rsidRPr="00692214">
        <w:rPr>
          <w:rFonts w:cs="Calibri"/>
          <w:i/>
        </w:rPr>
        <w:t xml:space="preserve">.  </w:t>
      </w:r>
      <w:r w:rsidR="001C1269" w:rsidRPr="00692214">
        <w:rPr>
          <w:rFonts w:cs="Calibri"/>
          <w:i/>
        </w:rPr>
        <w:t>Information collected on this checklist should be</w:t>
      </w:r>
      <w:r w:rsidR="006C462C" w:rsidRPr="00692214">
        <w:rPr>
          <w:rFonts w:cs="Calibri"/>
          <w:i/>
        </w:rPr>
        <w:t xml:space="preserve"> retained in accordance with established records retention schedules and made available upon request for purposes of state monitoring and audit.  The information collected on this checklist may also be us</w:t>
      </w:r>
      <w:r w:rsidR="001C1269" w:rsidRPr="00692214">
        <w:rPr>
          <w:rFonts w:cs="Calibri"/>
          <w:i/>
        </w:rPr>
        <w:t xml:space="preserve">ed to inform </w:t>
      </w:r>
      <w:r w:rsidR="006C462C" w:rsidRPr="00692214">
        <w:rPr>
          <w:rFonts w:cs="Calibri"/>
          <w:i/>
        </w:rPr>
        <w:t xml:space="preserve">the </w:t>
      </w:r>
      <w:r w:rsidR="001C1269" w:rsidRPr="00692214">
        <w:rPr>
          <w:rFonts w:cs="Calibri"/>
          <w:i/>
        </w:rPr>
        <w:t xml:space="preserve">reporting requirement outlined in </w:t>
      </w:r>
      <w:r w:rsidR="001C1269" w:rsidRPr="00692214">
        <w:rPr>
          <w:rFonts w:cs="Calibri"/>
          <w:bCs/>
          <w:i/>
        </w:rPr>
        <w:t>WAC 392-121-182 (11</w:t>
      </w:r>
      <w:proofErr w:type="gramStart"/>
      <w:r w:rsidR="001C1269" w:rsidRPr="00692214">
        <w:rPr>
          <w:rFonts w:cs="Calibri"/>
          <w:bCs/>
          <w:i/>
        </w:rPr>
        <w:t>)(</w:t>
      </w:r>
      <w:proofErr w:type="gramEnd"/>
      <w:r w:rsidR="001C1269" w:rsidRPr="00692214">
        <w:rPr>
          <w:rFonts w:cs="Calibri"/>
          <w:bCs/>
          <w:i/>
        </w:rPr>
        <w:t>b).</w:t>
      </w:r>
    </w:p>
    <w:p w:rsidR="00230BBE" w:rsidRPr="00692214" w:rsidRDefault="00230BBE" w:rsidP="00A47729">
      <w:pPr>
        <w:spacing w:after="0" w:line="240" w:lineRule="auto"/>
        <w:outlineLvl w:val="1"/>
        <w:rPr>
          <w:rFonts w:cs="Calibri"/>
          <w:b/>
          <w:bCs/>
        </w:rPr>
      </w:pPr>
    </w:p>
    <w:p w:rsidR="00544220" w:rsidRPr="00692214" w:rsidRDefault="00544220" w:rsidP="00A47729">
      <w:pPr>
        <w:spacing w:after="0" w:line="240" w:lineRule="auto"/>
        <w:outlineLvl w:val="1"/>
        <w:rPr>
          <w:rFonts w:cs="Calibri"/>
          <w:b/>
          <w:bCs/>
        </w:rPr>
      </w:pPr>
      <w:r w:rsidRPr="00692214">
        <w:rPr>
          <w:rFonts w:cs="Calibri"/>
          <w:b/>
          <w:bCs/>
        </w:rPr>
        <w:t>Section 3 (g) "Substantially similar experiences and services"</w:t>
      </w:r>
      <w:r w:rsidR="004C13B0" w:rsidRPr="00692214">
        <w:rPr>
          <w:rFonts w:cs="Calibri"/>
          <w:b/>
          <w:bCs/>
        </w:rPr>
        <w:t xml:space="preserve"> definition</w:t>
      </w:r>
      <w:r w:rsidRPr="00692214">
        <w:rPr>
          <w:rFonts w:cs="Calibri"/>
          <w:b/>
          <w:bCs/>
        </w:rPr>
        <w:t>: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2052"/>
      </w:tblGrid>
      <w:tr w:rsidR="00692214" w:rsidRPr="00692214" w:rsidTr="00D00501">
        <w:trPr>
          <w:tblHeader/>
        </w:trPr>
        <w:tc>
          <w:tcPr>
            <w:tcW w:w="8658" w:type="dxa"/>
            <w:shd w:val="clear" w:color="auto" w:fill="auto"/>
          </w:tcPr>
          <w:p w:rsidR="00692214" w:rsidRPr="00692214" w:rsidRDefault="00692214" w:rsidP="00631A6C">
            <w:pPr>
              <w:spacing w:after="0" w:line="240" w:lineRule="auto"/>
              <w:ind w:left="108"/>
              <w:jc w:val="center"/>
              <w:rPr>
                <w:rFonts w:cs="Calibri"/>
                <w:b/>
              </w:rPr>
            </w:pPr>
            <w:r w:rsidRPr="00692214">
              <w:rPr>
                <w:rFonts w:cs="Calibri"/>
                <w:b/>
              </w:rPr>
              <w:t>Guiding Questions</w:t>
            </w:r>
          </w:p>
        </w:tc>
        <w:tc>
          <w:tcPr>
            <w:tcW w:w="2052" w:type="dxa"/>
            <w:shd w:val="clear" w:color="auto" w:fill="auto"/>
          </w:tcPr>
          <w:p w:rsidR="00692214" w:rsidRPr="00692214" w:rsidRDefault="00692214" w:rsidP="00631A6C">
            <w:pPr>
              <w:spacing w:after="0" w:line="240" w:lineRule="auto"/>
              <w:ind w:left="108"/>
              <w:jc w:val="center"/>
              <w:rPr>
                <w:rFonts w:cs="Calibri"/>
                <w:b/>
              </w:rPr>
            </w:pPr>
            <w:r w:rsidRPr="00692214">
              <w:rPr>
                <w:rFonts w:cs="Calibri"/>
                <w:b/>
              </w:rPr>
              <w:t>Yes/No</w:t>
            </w:r>
          </w:p>
        </w:tc>
      </w:tr>
      <w:tr w:rsidR="00692214" w:rsidRPr="00692214" w:rsidTr="00692214">
        <w:tc>
          <w:tcPr>
            <w:tcW w:w="8658" w:type="dxa"/>
            <w:shd w:val="clear" w:color="auto" w:fill="auto"/>
          </w:tcPr>
          <w:p w:rsidR="00692214" w:rsidRPr="00692214" w:rsidRDefault="00692214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Is this a purchased or contracted instructional or co-curricular course, lesson, trip, or other experience, service, or activity?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2214" w:rsidRPr="00692214" w:rsidRDefault="00692214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</w:tr>
    </w:tbl>
    <w:p w:rsidR="00021876" w:rsidRPr="00692214" w:rsidRDefault="00021876" w:rsidP="00D00501">
      <w:pPr>
        <w:spacing w:before="240" w:after="0" w:line="240" w:lineRule="auto"/>
        <w:rPr>
          <w:rFonts w:cs="Calibri"/>
          <w:i/>
        </w:rPr>
      </w:pPr>
      <w:r w:rsidRPr="00692214">
        <w:rPr>
          <w:rFonts w:cs="Calibri"/>
          <w:i/>
        </w:rPr>
        <w:t xml:space="preserve">If </w:t>
      </w:r>
      <w:r w:rsidR="00632D99" w:rsidRPr="00692214">
        <w:rPr>
          <w:rFonts w:cs="Calibri"/>
          <w:i/>
        </w:rPr>
        <w:t>“N</w:t>
      </w:r>
      <w:r w:rsidRPr="00692214">
        <w:rPr>
          <w:rFonts w:cs="Calibri"/>
          <w:i/>
        </w:rPr>
        <w:t>o</w:t>
      </w:r>
      <w:r w:rsidR="00632D99" w:rsidRPr="00692214">
        <w:rPr>
          <w:rFonts w:cs="Calibri"/>
          <w:i/>
        </w:rPr>
        <w:t>”</w:t>
      </w:r>
      <w:r w:rsidRPr="00692214">
        <w:rPr>
          <w:rFonts w:cs="Calibri"/>
          <w:i/>
        </w:rPr>
        <w:t xml:space="preserve">, the item in question may not be subject to the </w:t>
      </w:r>
      <w:r w:rsidR="00F035D9" w:rsidRPr="00692214">
        <w:rPr>
          <w:rFonts w:cs="Calibri"/>
          <w:i/>
        </w:rPr>
        <w:t xml:space="preserve">“substantially similar” </w:t>
      </w:r>
      <w:r w:rsidRPr="00692214">
        <w:rPr>
          <w:rFonts w:cs="Calibri"/>
          <w:i/>
        </w:rPr>
        <w:t>requirement.</w:t>
      </w:r>
    </w:p>
    <w:p w:rsidR="00021876" w:rsidRPr="00692214" w:rsidRDefault="00021876" w:rsidP="00021876">
      <w:pPr>
        <w:spacing w:after="0" w:line="240" w:lineRule="auto"/>
        <w:rPr>
          <w:rFonts w:cs="Calibri"/>
        </w:rPr>
      </w:pPr>
    </w:p>
    <w:p w:rsidR="00F14CEB" w:rsidRPr="00692214" w:rsidRDefault="0021326C" w:rsidP="00D00501">
      <w:pPr>
        <w:rPr>
          <w:bCs/>
          <w:u w:val="single"/>
        </w:rPr>
      </w:pPr>
      <w:r>
        <w:t>Identify the</w:t>
      </w:r>
      <w:r w:rsidR="00F14CEB" w:rsidRPr="00692214">
        <w:t xml:space="preserve"> substantially similar experience, service, or activity made available to students enrolled in the district's regular instructional program being analyzed with this tool:</w:t>
      </w:r>
      <w:r w:rsidR="00F14CEB" w:rsidRPr="00692214">
        <w:rPr>
          <w:bCs/>
          <w:u w:val="single"/>
        </w:rPr>
        <w:t xml:space="preserve"> </w:t>
      </w:r>
      <w:r w:rsidR="00F14CEB" w:rsidRPr="00692214">
        <w:rPr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4CEB" w:rsidRPr="00692214">
        <w:rPr>
          <w:bCs/>
          <w:u w:val="single"/>
        </w:rPr>
        <w:instrText xml:space="preserve"> FORMTEXT </w:instrText>
      </w:r>
      <w:r w:rsidR="00F14CEB" w:rsidRPr="00692214">
        <w:rPr>
          <w:bCs/>
          <w:u w:val="single"/>
        </w:rPr>
      </w:r>
      <w:r w:rsidR="00F14CEB" w:rsidRPr="00692214">
        <w:rPr>
          <w:bCs/>
          <w:u w:val="single"/>
        </w:rPr>
        <w:fldChar w:fldCharType="separate"/>
      </w:r>
      <w:r w:rsidR="00D00501">
        <w:rPr>
          <w:bCs/>
          <w:u w:val="single"/>
        </w:rPr>
        <w:t> </w:t>
      </w:r>
      <w:r w:rsidR="00D00501">
        <w:rPr>
          <w:bCs/>
          <w:u w:val="single"/>
        </w:rPr>
        <w:t> </w:t>
      </w:r>
      <w:r w:rsidR="00D00501">
        <w:rPr>
          <w:bCs/>
          <w:u w:val="single"/>
        </w:rPr>
        <w:t> </w:t>
      </w:r>
      <w:r w:rsidR="00D00501">
        <w:rPr>
          <w:bCs/>
          <w:u w:val="single"/>
        </w:rPr>
        <w:t> </w:t>
      </w:r>
      <w:r w:rsidR="00D00501">
        <w:rPr>
          <w:bCs/>
          <w:u w:val="single"/>
        </w:rPr>
        <w:t> </w:t>
      </w:r>
      <w:r w:rsidR="00F14CEB" w:rsidRPr="00692214">
        <w:rPr>
          <w:bCs/>
          <w:u w:val="single"/>
        </w:rPr>
        <w:fldChar w:fldCharType="end"/>
      </w:r>
      <w:r w:rsidR="00F14CEB" w:rsidRPr="00692214">
        <w:rPr>
          <w:bCs/>
          <w:u w:val="single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769"/>
        <w:gridCol w:w="3433"/>
      </w:tblGrid>
      <w:tr w:rsidR="00021876" w:rsidRPr="00692214" w:rsidTr="00692214">
        <w:tc>
          <w:tcPr>
            <w:tcW w:w="5598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ind w:left="108"/>
              <w:jc w:val="center"/>
              <w:rPr>
                <w:rFonts w:cs="Calibri"/>
                <w:b/>
              </w:rPr>
            </w:pPr>
            <w:r w:rsidRPr="00692214">
              <w:rPr>
                <w:rFonts w:cs="Calibri"/>
                <w:b/>
              </w:rPr>
              <w:t>Guiding Questions</w:t>
            </w:r>
          </w:p>
        </w:tc>
        <w:tc>
          <w:tcPr>
            <w:tcW w:w="1769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ind w:left="108"/>
              <w:jc w:val="center"/>
              <w:rPr>
                <w:rFonts w:cs="Calibri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021876" w:rsidRPr="00692214" w:rsidRDefault="00A97F8C" w:rsidP="00A97F8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If yes, describe</w:t>
            </w:r>
            <w:r w:rsidR="00021876" w:rsidRPr="00692214">
              <w:rPr>
                <w:rFonts w:cs="Calibri"/>
                <w:b/>
              </w:rPr>
              <w:t xml:space="preserve"> how required component is satisfied</w:t>
            </w:r>
            <w:r w:rsidR="00F700AD" w:rsidRPr="00692214">
              <w:rPr>
                <w:rFonts w:cs="Calibri"/>
                <w:b/>
              </w:rPr>
              <w:t>.</w:t>
            </w:r>
          </w:p>
        </w:tc>
      </w:tr>
      <w:tr w:rsidR="004C13B0" w:rsidRPr="00692214" w:rsidTr="00692214">
        <w:tc>
          <w:tcPr>
            <w:tcW w:w="5598" w:type="dxa"/>
            <w:shd w:val="clear" w:color="auto" w:fill="auto"/>
          </w:tcPr>
          <w:p w:rsidR="004C13B0" w:rsidRPr="00692214" w:rsidRDefault="000D50D2" w:rsidP="00E82B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 the</w:t>
            </w:r>
            <w:r w:rsidR="004C13B0" w:rsidRPr="00692214">
              <w:rPr>
                <w:rFonts w:cs="Calibri"/>
              </w:rPr>
              <w:t xml:space="preserve"> </w:t>
            </w:r>
            <w:r w:rsidR="00265EE5" w:rsidRPr="00692214">
              <w:rPr>
                <w:rFonts w:cs="Calibri"/>
              </w:rPr>
              <w:t>identical or similar experience</w:t>
            </w:r>
            <w:r w:rsidR="00A075DF" w:rsidRPr="00692214">
              <w:rPr>
                <w:rFonts w:cs="Calibri"/>
              </w:rPr>
              <w:t>s</w:t>
            </w:r>
            <w:r w:rsidR="00265EE5" w:rsidRPr="00692214">
              <w:rPr>
                <w:rFonts w:cs="Calibri"/>
              </w:rPr>
              <w:t>, service, or activity made available to students enrolled in the district’s regular instruction program</w:t>
            </w:r>
            <w:r w:rsidR="004C13B0" w:rsidRPr="00692214">
              <w:rPr>
                <w:rFonts w:cs="Calibri"/>
              </w:rPr>
              <w:t xml:space="preserve"> at </w:t>
            </w:r>
            <w:r w:rsidR="00E82BDC">
              <w:rPr>
                <w:rFonts w:cs="Calibri"/>
              </w:rPr>
              <w:t>a similar</w:t>
            </w:r>
            <w:r w:rsidR="004C13B0" w:rsidRPr="00692214">
              <w:rPr>
                <w:rFonts w:cs="Calibri"/>
              </w:rPr>
              <w:t xml:space="preserve"> grade level?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13B0" w:rsidRPr="00692214" w:rsidRDefault="00B402C9" w:rsidP="00631A6C">
            <w:pPr>
              <w:spacing w:after="0" w:line="240" w:lineRule="auto"/>
              <w:ind w:left="18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433" w:type="dxa"/>
            <w:shd w:val="clear" w:color="auto" w:fill="auto"/>
          </w:tcPr>
          <w:p w:rsidR="004C13B0" w:rsidRPr="00692214" w:rsidRDefault="0068594B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  <w:bookmarkEnd w:id="4"/>
          </w:p>
        </w:tc>
      </w:tr>
      <w:tr w:rsidR="004C13B0" w:rsidRPr="00692214" w:rsidTr="00692214">
        <w:tc>
          <w:tcPr>
            <w:tcW w:w="5598" w:type="dxa"/>
            <w:shd w:val="clear" w:color="auto" w:fill="auto"/>
          </w:tcPr>
          <w:p w:rsidR="004C13B0" w:rsidRPr="00692214" w:rsidRDefault="00AD197D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</w:t>
            </w:r>
            <w:r w:rsidR="004C13B0" w:rsidRPr="00692214">
              <w:rPr>
                <w:rFonts w:cs="Calibri"/>
              </w:rPr>
              <w:t xml:space="preserve"> </w:t>
            </w:r>
            <w:r w:rsidR="000D50D2" w:rsidRPr="00692214">
              <w:rPr>
                <w:rFonts w:cs="Calibri"/>
              </w:rPr>
              <w:t xml:space="preserve">the </w:t>
            </w:r>
            <w:r w:rsidR="004C13B0" w:rsidRPr="00692214">
              <w:rPr>
                <w:rFonts w:cs="Calibri"/>
              </w:rPr>
              <w:t>iden</w:t>
            </w:r>
            <w:r w:rsidRPr="00692214">
              <w:rPr>
                <w:rFonts w:cs="Calibri"/>
              </w:rPr>
              <w:t>tical or similar experiences available</w:t>
            </w:r>
            <w:r w:rsidR="008F3515">
              <w:rPr>
                <w:rFonts w:cs="Calibri"/>
              </w:rPr>
              <w:t xml:space="preserve"> at a similar</w:t>
            </w:r>
            <w:r w:rsidR="004C13B0" w:rsidRPr="00692214">
              <w:rPr>
                <w:rFonts w:cs="Calibri"/>
              </w:rPr>
              <w:t xml:space="preserve"> level of frequency, intensity, and duration including, but not limited to, consideration of individual versus group instruction</w:t>
            </w:r>
            <w:r w:rsidR="00F700AD" w:rsidRPr="00692214">
              <w:rPr>
                <w:rFonts w:cs="Calibri"/>
              </w:rPr>
              <w:t>?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13B0" w:rsidRPr="00692214" w:rsidRDefault="00B402C9" w:rsidP="00631A6C">
            <w:pPr>
              <w:spacing w:after="0" w:line="240" w:lineRule="auto"/>
              <w:ind w:left="18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433" w:type="dxa"/>
            <w:shd w:val="clear" w:color="auto" w:fill="auto"/>
          </w:tcPr>
          <w:p w:rsidR="004C13B0" w:rsidRPr="00692214" w:rsidRDefault="0068594B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  <w:bookmarkEnd w:id="5"/>
          </w:p>
        </w:tc>
      </w:tr>
      <w:tr w:rsidR="004C13B0" w:rsidRPr="00692214" w:rsidTr="00692214">
        <w:tc>
          <w:tcPr>
            <w:tcW w:w="5598" w:type="dxa"/>
            <w:shd w:val="clear" w:color="auto" w:fill="auto"/>
          </w:tcPr>
          <w:p w:rsidR="004C13B0" w:rsidRPr="00692214" w:rsidRDefault="00AD197D" w:rsidP="00E82B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</w:t>
            </w:r>
            <w:r w:rsidR="004C13B0" w:rsidRPr="00692214">
              <w:rPr>
                <w:rFonts w:cs="Calibri"/>
              </w:rPr>
              <w:t xml:space="preserve"> </w:t>
            </w:r>
            <w:r w:rsidR="000D50D2" w:rsidRPr="00692214">
              <w:rPr>
                <w:rFonts w:cs="Calibri"/>
              </w:rPr>
              <w:t xml:space="preserve">the </w:t>
            </w:r>
            <w:r w:rsidR="004C13B0" w:rsidRPr="00692214">
              <w:rPr>
                <w:rFonts w:cs="Calibri"/>
              </w:rPr>
              <w:t xml:space="preserve">identical or similar experiences </w:t>
            </w:r>
            <w:r w:rsidRPr="00692214">
              <w:rPr>
                <w:rFonts w:cs="Calibri"/>
              </w:rPr>
              <w:t xml:space="preserve">available </w:t>
            </w:r>
            <w:r w:rsidR="008F3515">
              <w:rPr>
                <w:rFonts w:cs="Calibri"/>
              </w:rPr>
              <w:t>at a similar</w:t>
            </w:r>
            <w:r w:rsidR="004C13B0" w:rsidRPr="00692214">
              <w:rPr>
                <w:rFonts w:cs="Calibri"/>
              </w:rPr>
              <w:t xml:space="preserve"> level of cost to the student with regard to any related club, group, or association memberships; admission, enrollment, registration, rental or other participation fees; or any other expense associated with the experience or service?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13B0" w:rsidRPr="00692214" w:rsidRDefault="00B402C9" w:rsidP="00631A6C">
            <w:pPr>
              <w:spacing w:after="0" w:line="240" w:lineRule="auto"/>
              <w:ind w:left="18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433" w:type="dxa"/>
            <w:shd w:val="clear" w:color="auto" w:fill="auto"/>
          </w:tcPr>
          <w:p w:rsidR="004C13B0" w:rsidRPr="00692214" w:rsidRDefault="0068594B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4C13B0" w:rsidRPr="00692214" w:rsidTr="00692214">
        <w:tc>
          <w:tcPr>
            <w:tcW w:w="5598" w:type="dxa"/>
            <w:shd w:val="clear" w:color="auto" w:fill="auto"/>
          </w:tcPr>
          <w:p w:rsidR="00C72FDF" w:rsidRPr="00692214" w:rsidRDefault="000D50D2" w:rsidP="000D50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 the identical or similar experiences</w:t>
            </w:r>
            <w:r w:rsidR="004C13B0" w:rsidRPr="00692214">
              <w:rPr>
                <w:rFonts w:cs="Calibri"/>
              </w:rPr>
              <w:t xml:space="preserve"> in accordance with district adopted content standards or state defined grade level standards?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13B0" w:rsidRPr="00692214" w:rsidRDefault="00B402C9" w:rsidP="00631A6C">
            <w:pPr>
              <w:spacing w:after="0" w:line="240" w:lineRule="auto"/>
              <w:ind w:left="18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433" w:type="dxa"/>
            <w:shd w:val="clear" w:color="auto" w:fill="auto"/>
          </w:tcPr>
          <w:p w:rsidR="004C13B0" w:rsidRPr="00692214" w:rsidRDefault="0068594B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4C13B0" w:rsidRPr="00692214" w:rsidTr="00692214">
        <w:tc>
          <w:tcPr>
            <w:tcW w:w="5598" w:type="dxa"/>
            <w:shd w:val="clear" w:color="auto" w:fill="auto"/>
          </w:tcPr>
          <w:p w:rsidR="004C13B0" w:rsidRPr="00692214" w:rsidRDefault="000D50D2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 xml:space="preserve">Are the identical or similar experiences </w:t>
            </w:r>
            <w:r w:rsidR="004C13B0" w:rsidRPr="00692214">
              <w:rPr>
                <w:rFonts w:cs="Calibri"/>
              </w:rPr>
              <w:t>supervised, monitored, assessed, evaluated, and documented by a certificated teacher?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13B0" w:rsidRPr="00692214" w:rsidRDefault="00B402C9" w:rsidP="00631A6C">
            <w:pPr>
              <w:spacing w:after="0" w:line="240" w:lineRule="auto"/>
              <w:ind w:left="18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433" w:type="dxa"/>
            <w:shd w:val="clear" w:color="auto" w:fill="auto"/>
          </w:tcPr>
          <w:p w:rsidR="004C13B0" w:rsidRPr="00692214" w:rsidRDefault="0068594B" w:rsidP="00631A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</w:tbl>
    <w:p w:rsidR="00C72FDF" w:rsidRDefault="00313F09" w:rsidP="00D00501">
      <w:pPr>
        <w:spacing w:before="240" w:after="0" w:line="240" w:lineRule="auto"/>
        <w:rPr>
          <w:rFonts w:cs="Calibri"/>
          <w:i/>
        </w:rPr>
      </w:pPr>
      <w:r w:rsidRPr="00692214">
        <w:rPr>
          <w:rFonts w:cs="Calibri"/>
          <w:i/>
        </w:rPr>
        <w:t>If you answered “</w:t>
      </w:r>
      <w:r w:rsidR="00AD197D" w:rsidRPr="00692214">
        <w:rPr>
          <w:rFonts w:cs="Calibri"/>
          <w:i/>
        </w:rPr>
        <w:t>No</w:t>
      </w:r>
      <w:r w:rsidRPr="00692214">
        <w:rPr>
          <w:rFonts w:cs="Calibri"/>
          <w:i/>
        </w:rPr>
        <w:t>”</w:t>
      </w:r>
      <w:r w:rsidR="00AD197D" w:rsidRPr="00692214">
        <w:rPr>
          <w:rFonts w:cs="Calibri"/>
          <w:i/>
        </w:rPr>
        <w:t xml:space="preserve"> to any of the above questions, you </w:t>
      </w:r>
      <w:r w:rsidR="008C346A">
        <w:rPr>
          <w:rFonts w:cs="Calibri"/>
          <w:i/>
        </w:rPr>
        <w:t>should</w:t>
      </w:r>
      <w:r w:rsidR="008C346A" w:rsidRPr="00692214">
        <w:rPr>
          <w:rFonts w:cs="Calibri"/>
          <w:i/>
        </w:rPr>
        <w:t xml:space="preserve"> </w:t>
      </w:r>
      <w:r w:rsidR="008C346A">
        <w:rPr>
          <w:rFonts w:cs="Calibri"/>
          <w:i/>
        </w:rPr>
        <w:t>consider other ways than a purchase or contract to provide the experience, service or activity to the student.</w:t>
      </w:r>
    </w:p>
    <w:p w:rsidR="00692214" w:rsidRDefault="00692214" w:rsidP="00A47729">
      <w:pPr>
        <w:spacing w:after="0" w:line="240" w:lineRule="auto"/>
        <w:rPr>
          <w:rFonts w:cs="Calibri"/>
          <w:i/>
        </w:rPr>
      </w:pPr>
    </w:p>
    <w:p w:rsidR="00692214" w:rsidRDefault="00692214" w:rsidP="00692214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Continued on page 2</w:t>
      </w:r>
    </w:p>
    <w:p w:rsidR="00C72FDF" w:rsidRPr="00692214" w:rsidRDefault="00692214" w:rsidP="00A47729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br w:type="page"/>
      </w:r>
    </w:p>
    <w:p w:rsidR="004123A9" w:rsidRPr="00692214" w:rsidRDefault="004123A9" w:rsidP="00A47729">
      <w:pPr>
        <w:spacing w:after="0" w:line="240" w:lineRule="auto"/>
        <w:rPr>
          <w:rFonts w:cs="Calibri"/>
          <w:b/>
        </w:rPr>
      </w:pPr>
      <w:r w:rsidRPr="00692214">
        <w:rPr>
          <w:rFonts w:cs="Calibri"/>
          <w:b/>
        </w:rPr>
        <w:lastRenderedPageBreak/>
        <w:t xml:space="preserve">Other </w:t>
      </w:r>
      <w:r w:rsidR="008C346A">
        <w:rPr>
          <w:rFonts w:cs="Calibri"/>
          <w:b/>
        </w:rPr>
        <w:t>considerations that may impact</w:t>
      </w:r>
      <w:r w:rsidR="004C13B0" w:rsidRPr="00692214">
        <w:rPr>
          <w:rFonts w:cs="Calibri"/>
          <w:b/>
        </w:rPr>
        <w:t xml:space="preserve"> </w:t>
      </w:r>
      <w:r w:rsidR="008C346A">
        <w:rPr>
          <w:rFonts w:cs="Calibri"/>
          <w:b/>
        </w:rPr>
        <w:t>your decision to purchase or contract for an ALE experience, service or activity</w:t>
      </w:r>
      <w:r w:rsidRPr="00692214">
        <w:rPr>
          <w:rFonts w:cs="Calibri"/>
          <w:b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1691"/>
        <w:gridCol w:w="3563"/>
      </w:tblGrid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ind w:left="108"/>
              <w:jc w:val="center"/>
              <w:rPr>
                <w:rFonts w:cs="Calibri"/>
                <w:b/>
              </w:rPr>
            </w:pPr>
            <w:r w:rsidRPr="00692214">
              <w:rPr>
                <w:rFonts w:cs="Calibri"/>
                <w:b/>
              </w:rPr>
              <w:t>Guiding Questions</w:t>
            </w:r>
          </w:p>
        </w:tc>
        <w:tc>
          <w:tcPr>
            <w:tcW w:w="171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ind w:left="108"/>
              <w:jc w:val="center"/>
              <w:rPr>
                <w:rFonts w:cs="Calibri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21876" w:rsidRPr="00692214" w:rsidRDefault="00A97F8C" w:rsidP="00631A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If yes, describe</w:t>
            </w:r>
            <w:r w:rsidRPr="00692214">
              <w:rPr>
                <w:rFonts w:cs="Calibri"/>
                <w:b/>
              </w:rPr>
              <w:t xml:space="preserve"> how required component is satisfied.</w:t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Is the experience,</w:t>
            </w:r>
            <w:r w:rsidR="00147E1B" w:rsidRPr="00692214">
              <w:rPr>
                <w:rFonts w:cs="Calibri"/>
              </w:rPr>
              <w:t xml:space="preserve"> service, or activity relevant </w:t>
            </w:r>
            <w:r w:rsidRPr="00692214">
              <w:rPr>
                <w:rFonts w:cs="Calibri"/>
              </w:rPr>
              <w:t>to the WSLP?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bookmarkEnd w:id="6"/>
            <w:r w:rsidRPr="00692214">
              <w:rPr>
                <w:rFonts w:cs="Calibri"/>
              </w:rPr>
              <w:t xml:space="preserve"> </w:t>
            </w:r>
            <w:r w:rsidR="00021876" w:rsidRPr="00692214">
              <w:rPr>
                <w:rFonts w:cs="Calibri"/>
              </w:rPr>
              <w:t>Yes</w:t>
            </w:r>
            <w:r w:rsidRPr="00692214">
              <w:rPr>
                <w:rFonts w:cs="Calibri"/>
              </w:rPr>
              <w:t xml:space="preserve">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bookmarkEnd w:id="7"/>
            <w:r w:rsidRPr="00692214">
              <w:rPr>
                <w:rFonts w:cs="Calibri"/>
              </w:rPr>
              <w:t xml:space="preserve"> </w:t>
            </w:r>
            <w:r w:rsidR="00021876" w:rsidRPr="00692214">
              <w:rPr>
                <w:rFonts w:cs="Calibri"/>
              </w:rPr>
              <w:t>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Does this experience, service, or activity satisfy all the alternative learning experience program requirements and alternative learning experience implementation requirements</w:t>
            </w:r>
            <w:r w:rsidR="001B251A" w:rsidRPr="00692214">
              <w:rPr>
                <w:rFonts w:cs="Calibri"/>
              </w:rPr>
              <w:t>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B75404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If</w:t>
            </w:r>
            <w:r w:rsidR="00021876" w:rsidRPr="00692214">
              <w:rPr>
                <w:rFonts w:cs="Calibri"/>
              </w:rPr>
              <w:t xml:space="preserve"> the experience, service, or activity is a course itself, are all alternative learning experience program requirements</w:t>
            </w:r>
            <w:r w:rsidRPr="00692214">
              <w:rPr>
                <w:rFonts w:cs="Calibri"/>
              </w:rPr>
              <w:t xml:space="preserve"> WAC 392-121-182 </w:t>
            </w:r>
            <w:r w:rsidRPr="00692214">
              <w:rPr>
                <w:rFonts w:cs="Courier"/>
              </w:rPr>
              <w:t>(4)</w:t>
            </w:r>
            <w:r w:rsidR="00021876" w:rsidRPr="00692214">
              <w:rPr>
                <w:rFonts w:cs="Calibri"/>
              </w:rPr>
              <w:t xml:space="preserve"> and alternative learning experience implementation requirements</w:t>
            </w:r>
            <w:r w:rsidRPr="00692214">
              <w:t xml:space="preserve"> </w:t>
            </w:r>
            <w:r w:rsidRPr="00692214">
              <w:rPr>
                <w:rFonts w:cs="Calibri"/>
              </w:rPr>
              <w:t xml:space="preserve">WAC 392-121-182 </w:t>
            </w:r>
            <w:r w:rsidRPr="00692214">
              <w:rPr>
                <w:rFonts w:cs="Courier"/>
              </w:rPr>
              <w:t>(6)</w:t>
            </w:r>
            <w:r w:rsidR="00021876" w:rsidRPr="00692214">
              <w:rPr>
                <w:rFonts w:cs="Calibri"/>
              </w:rPr>
              <w:t xml:space="preserve"> satisfied</w:t>
            </w:r>
            <w:r w:rsidRPr="00692214">
              <w:rPr>
                <w:rFonts w:cs="Calibri"/>
              </w:rPr>
              <w:t>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Is the experience, service, or activity reasonable and necessary for the successful completion of the course objectives?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 there alternative options available that will cost the district less but will still enable the student to successfully complete the course objectives?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Does this purchase or contracted service adhere to the district’s purchasing and contracting policies and procedures?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If applicable, does this purchase or contracted service meet the state bidding and contracting requirements (RCW 28A.335.190, RCW 28A.440.322, RCW 43.19.1911)?</w:t>
            </w:r>
            <w:r w:rsidRPr="00692214" w:rsidDel="006046C9">
              <w:rPr>
                <w:rFonts w:cs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  <w:p w:rsidR="00B402C9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bookmarkEnd w:id="8"/>
            <w:r w:rsidRPr="00692214">
              <w:rPr>
                <w:rFonts w:cs="Calibri"/>
              </w:rPr>
              <w:t xml:space="preserve"> NA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Is this purchase a responsible use of public dollars?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0D50D2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Are similar activities</w:t>
            </w:r>
            <w:r w:rsidR="000D50D2" w:rsidRPr="00692214">
              <w:rPr>
                <w:rFonts w:cs="Calibri"/>
              </w:rPr>
              <w:t xml:space="preserve"> in the regular instructional program</w:t>
            </w:r>
            <w:r w:rsidRPr="00692214">
              <w:rPr>
                <w:rFonts w:cs="Calibri"/>
              </w:rPr>
              <w:t xml:space="preserve"> subject to the district fee schedule?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68594B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  <w:tr w:rsidR="00021876" w:rsidRPr="00692214" w:rsidTr="00692214">
        <w:tc>
          <w:tcPr>
            <w:tcW w:w="5580" w:type="dxa"/>
            <w:shd w:val="clear" w:color="auto" w:fill="auto"/>
          </w:tcPr>
          <w:p w:rsidR="00021876" w:rsidRPr="00692214" w:rsidRDefault="00021876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t>Is the purchase identified on an alternative learning experience written student learning plan (WSLP)?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1876" w:rsidRPr="00692214" w:rsidRDefault="00B402C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Yes  </w:t>
            </w:r>
            <w:r w:rsidRPr="00692214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4">
              <w:rPr>
                <w:rFonts w:cs="Calibri"/>
              </w:rPr>
              <w:instrText xml:space="preserve"> FORMCHECKBOX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end"/>
            </w:r>
            <w:r w:rsidRPr="00692214">
              <w:rPr>
                <w:rFonts w:cs="Calibri"/>
              </w:rPr>
              <w:t xml:space="preserve"> No</w:t>
            </w:r>
          </w:p>
        </w:tc>
        <w:tc>
          <w:tcPr>
            <w:tcW w:w="3600" w:type="dxa"/>
            <w:shd w:val="clear" w:color="auto" w:fill="auto"/>
          </w:tcPr>
          <w:p w:rsidR="00021876" w:rsidRPr="00692214" w:rsidRDefault="00F035D9" w:rsidP="00631A6C">
            <w:pPr>
              <w:spacing w:after="0" w:line="240" w:lineRule="auto"/>
              <w:rPr>
                <w:rFonts w:cs="Calibri"/>
              </w:rPr>
            </w:pPr>
            <w:r w:rsidRPr="00692214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14">
              <w:rPr>
                <w:rFonts w:cs="Calibri"/>
              </w:rPr>
              <w:instrText xml:space="preserve"> FORMTEXT </w:instrText>
            </w:r>
            <w:r w:rsidRPr="00692214">
              <w:rPr>
                <w:rFonts w:cs="Calibri"/>
              </w:rPr>
            </w:r>
            <w:r w:rsidRPr="00692214">
              <w:rPr>
                <w:rFonts w:cs="Calibri"/>
              </w:rPr>
              <w:fldChar w:fldCharType="separate"/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  <w:noProof/>
              </w:rPr>
              <w:t> </w:t>
            </w:r>
            <w:r w:rsidRPr="00692214">
              <w:rPr>
                <w:rFonts w:cs="Calibri"/>
              </w:rPr>
              <w:fldChar w:fldCharType="end"/>
            </w:r>
          </w:p>
        </w:tc>
      </w:tr>
    </w:tbl>
    <w:p w:rsidR="008C346A" w:rsidRDefault="008C346A" w:rsidP="00D00501">
      <w:pPr>
        <w:spacing w:before="240" w:after="0" w:line="240" w:lineRule="auto"/>
        <w:rPr>
          <w:rFonts w:cs="Calibri"/>
          <w:i/>
        </w:rPr>
      </w:pPr>
      <w:r w:rsidRPr="00692214">
        <w:rPr>
          <w:rFonts w:cs="Calibri"/>
          <w:i/>
        </w:rPr>
        <w:t xml:space="preserve">If you answered “No” to any of the above questions, you </w:t>
      </w:r>
      <w:r>
        <w:rPr>
          <w:rFonts w:cs="Calibri"/>
          <w:i/>
        </w:rPr>
        <w:t>should</w:t>
      </w:r>
      <w:r w:rsidRPr="00692214">
        <w:rPr>
          <w:rFonts w:cs="Calibri"/>
          <w:i/>
        </w:rPr>
        <w:t xml:space="preserve"> </w:t>
      </w:r>
      <w:r>
        <w:rPr>
          <w:rFonts w:cs="Calibri"/>
          <w:i/>
        </w:rPr>
        <w:t>consider other ways than a purchase or contract to provide the experience, service or activity to the student.</w:t>
      </w:r>
    </w:p>
    <w:p w:rsidR="00DE593B" w:rsidRPr="00692214" w:rsidRDefault="00DE593B" w:rsidP="004C13B0">
      <w:pPr>
        <w:spacing w:after="0" w:line="240" w:lineRule="auto"/>
        <w:rPr>
          <w:rFonts w:cs="Calibri"/>
          <w:i/>
        </w:rPr>
      </w:pPr>
    </w:p>
    <w:p w:rsidR="00DE593B" w:rsidRPr="00692214" w:rsidRDefault="00DE593B" w:rsidP="0068594B">
      <w:pPr>
        <w:tabs>
          <w:tab w:val="left" w:pos="10710"/>
        </w:tabs>
        <w:spacing w:after="0"/>
        <w:outlineLvl w:val="1"/>
        <w:rPr>
          <w:rFonts w:cs="Calibri"/>
          <w:bCs/>
          <w:u w:val="single"/>
        </w:rPr>
      </w:pPr>
    </w:p>
    <w:sectPr w:rsidR="00DE593B" w:rsidRPr="00692214" w:rsidSect="00C72FDF">
      <w:headerReference w:type="default" r:id="rId7"/>
      <w:footerReference w:type="default" r:id="rId8"/>
      <w:headerReference w:type="first" r:id="rId9"/>
      <w:pgSz w:w="12240" w:h="15840"/>
      <w:pgMar w:top="630" w:right="720" w:bottom="12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80" w:rsidRDefault="001C0680" w:rsidP="00DE593B">
      <w:pPr>
        <w:spacing w:after="0" w:line="240" w:lineRule="auto"/>
      </w:pPr>
      <w:r>
        <w:separator/>
      </w:r>
    </w:p>
  </w:endnote>
  <w:endnote w:type="continuationSeparator" w:id="0">
    <w:p w:rsidR="001C0680" w:rsidRDefault="001C0680" w:rsidP="00DE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3B" w:rsidRDefault="00DE593B" w:rsidP="00631A6C">
    <w:pPr>
      <w:pStyle w:val="Footer"/>
      <w:pBdr>
        <w:top w:val="thinThickSmallGap" w:sz="24" w:space="1" w:color="622423"/>
      </w:pBdr>
    </w:pPr>
    <w:r>
      <w:t>A</w:t>
    </w:r>
    <w:r w:rsidR="00BF1953">
      <w:t xml:space="preserve">lternative </w:t>
    </w:r>
    <w:r>
      <w:t>L</w:t>
    </w:r>
    <w:r w:rsidR="00BF1953">
      <w:t xml:space="preserve">earning </w:t>
    </w:r>
    <w:r w:rsidR="006F0AA0">
      <w:t>Experience</w:t>
    </w:r>
    <w:r>
      <w:t xml:space="preserve"> WAC 392-121-182</w:t>
    </w:r>
    <w:r w:rsidR="00BF1953">
      <w:t xml:space="preserve"> </w:t>
    </w:r>
    <w:r>
      <w:t xml:space="preserve"> </w:t>
    </w:r>
  </w:p>
  <w:p w:rsidR="00DE593B" w:rsidRPr="00631A6C" w:rsidRDefault="00DE593B" w:rsidP="00631A6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t>Effective September 1, 2011</w:t>
    </w:r>
    <w:r w:rsidR="00631A6C">
      <w:rPr>
        <w:rFonts w:ascii="Cambria" w:hAnsi="Cambria"/>
      </w:rPr>
      <w:tab/>
    </w:r>
    <w:r w:rsidRPr="00631A6C">
      <w:rPr>
        <w:rFonts w:ascii="Cambria" w:hAnsi="Cambria"/>
      </w:rPr>
      <w:t xml:space="preserve">Page </w:t>
    </w:r>
    <w:r w:rsidR="004F68F9" w:rsidRPr="00631A6C">
      <w:fldChar w:fldCharType="begin"/>
    </w:r>
    <w:r w:rsidR="004F68F9">
      <w:instrText xml:space="preserve"> PAGE   \* MERGEFORMAT </w:instrText>
    </w:r>
    <w:r w:rsidR="004F68F9" w:rsidRPr="00631A6C">
      <w:fldChar w:fldCharType="separate"/>
    </w:r>
    <w:r w:rsidR="005A3901" w:rsidRPr="005A3901">
      <w:rPr>
        <w:rFonts w:ascii="Cambria" w:hAnsi="Cambria"/>
        <w:noProof/>
      </w:rPr>
      <w:t>2</w:t>
    </w:r>
    <w:r w:rsidR="004F68F9" w:rsidRPr="00631A6C">
      <w:rPr>
        <w:rFonts w:ascii="Cambria" w:hAnsi="Cambria"/>
        <w:noProof/>
      </w:rPr>
      <w:fldChar w:fldCharType="end"/>
    </w:r>
    <w:r w:rsidR="00C41F30">
      <w:t xml:space="preserve"> of </w:t>
    </w:r>
    <w:fldSimple w:instr=" NUMPAGES  \* Arabic  \* MERGEFORMAT ">
      <w:r w:rsidR="005A3901">
        <w:rPr>
          <w:noProof/>
        </w:rPr>
        <w:t>2</w:t>
      </w:r>
    </w:fldSimple>
  </w:p>
  <w:p w:rsidR="00DE593B" w:rsidRDefault="00DE5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80" w:rsidRDefault="001C0680" w:rsidP="00DE593B">
      <w:pPr>
        <w:spacing w:after="0" w:line="240" w:lineRule="auto"/>
      </w:pPr>
      <w:r>
        <w:separator/>
      </w:r>
    </w:p>
  </w:footnote>
  <w:footnote w:type="continuationSeparator" w:id="0">
    <w:p w:rsidR="001C0680" w:rsidRDefault="001C0680" w:rsidP="00DE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30" w:rsidRPr="00692214" w:rsidRDefault="002B09BB" w:rsidP="00692214">
    <w:pPr>
      <w:autoSpaceDE w:val="0"/>
      <w:autoSpaceDN w:val="0"/>
      <w:adjustRightInd w:val="0"/>
      <w:spacing w:after="0" w:line="240" w:lineRule="auto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Substantially Similar</w:t>
    </w:r>
    <w:r w:rsidR="006C462C" w:rsidRPr="00631A6C">
      <w:rPr>
        <w:rFonts w:cs="Calibri"/>
        <w:b/>
        <w:sz w:val="36"/>
        <w:szCs w:val="36"/>
      </w:rPr>
      <w:t xml:space="preserve"> </w:t>
    </w:r>
    <w:r w:rsidR="00BF1953" w:rsidRPr="00631A6C">
      <w:rPr>
        <w:rFonts w:cs="Calibri"/>
        <w:b/>
        <w:sz w:val="36"/>
        <w:szCs w:val="36"/>
      </w:rPr>
      <w:t>Self Check Compliance Tool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DF" w:rsidRPr="00631A6C" w:rsidRDefault="00C72FDF" w:rsidP="00C72FDF">
    <w:pPr>
      <w:autoSpaceDE w:val="0"/>
      <w:autoSpaceDN w:val="0"/>
      <w:adjustRightInd w:val="0"/>
      <w:spacing w:after="0" w:line="240" w:lineRule="auto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Substantially Similar</w:t>
    </w:r>
    <w:r w:rsidRPr="00631A6C">
      <w:rPr>
        <w:rFonts w:cs="Calibri"/>
        <w:b/>
        <w:sz w:val="36"/>
        <w:szCs w:val="36"/>
      </w:rPr>
      <w:t xml:space="preserve"> Self Check Compliance Tool</w:t>
    </w:r>
  </w:p>
  <w:p w:rsidR="00C72FDF" w:rsidRDefault="00C72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D23"/>
    <w:multiLevelType w:val="hybridMultilevel"/>
    <w:tmpl w:val="F50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7c5bw+tgHuDEB4+PQNF0PJzFN4LlWmgCKaSxwPCCv+7Do2nCPksXZowzf5uzQ9J1FqmooFr8QFfuTIZ65fbDQ==" w:salt="DN/xILabkVcUHncdgw/XdQ==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1"/>
    <w:rsid w:val="00003F6D"/>
    <w:rsid w:val="000073EA"/>
    <w:rsid w:val="00021876"/>
    <w:rsid w:val="000C1705"/>
    <w:rsid w:val="000D50D2"/>
    <w:rsid w:val="000E0702"/>
    <w:rsid w:val="0010571A"/>
    <w:rsid w:val="00147904"/>
    <w:rsid w:val="00147E1B"/>
    <w:rsid w:val="001B251A"/>
    <w:rsid w:val="001C0680"/>
    <w:rsid w:val="001C1269"/>
    <w:rsid w:val="001D42BF"/>
    <w:rsid w:val="0021326C"/>
    <w:rsid w:val="00224B6E"/>
    <w:rsid w:val="00227534"/>
    <w:rsid w:val="00230BBE"/>
    <w:rsid w:val="00265EE5"/>
    <w:rsid w:val="00267E31"/>
    <w:rsid w:val="002729DC"/>
    <w:rsid w:val="00287480"/>
    <w:rsid w:val="002B09BB"/>
    <w:rsid w:val="002B1A58"/>
    <w:rsid w:val="00313F09"/>
    <w:rsid w:val="00345BD8"/>
    <w:rsid w:val="00351754"/>
    <w:rsid w:val="00364350"/>
    <w:rsid w:val="00371C9F"/>
    <w:rsid w:val="00397726"/>
    <w:rsid w:val="003A637E"/>
    <w:rsid w:val="00404639"/>
    <w:rsid w:val="004123A9"/>
    <w:rsid w:val="00450C85"/>
    <w:rsid w:val="004B5F82"/>
    <w:rsid w:val="004C13B0"/>
    <w:rsid w:val="004F1A19"/>
    <w:rsid w:val="004F68F9"/>
    <w:rsid w:val="00544220"/>
    <w:rsid w:val="00582010"/>
    <w:rsid w:val="005854F7"/>
    <w:rsid w:val="005A3901"/>
    <w:rsid w:val="005D339A"/>
    <w:rsid w:val="005E51A1"/>
    <w:rsid w:val="006046C9"/>
    <w:rsid w:val="00627A0E"/>
    <w:rsid w:val="00631A6C"/>
    <w:rsid w:val="00632D99"/>
    <w:rsid w:val="0068594B"/>
    <w:rsid w:val="00692214"/>
    <w:rsid w:val="006A45F0"/>
    <w:rsid w:val="006C462C"/>
    <w:rsid w:val="006D7103"/>
    <w:rsid w:val="006F0AA0"/>
    <w:rsid w:val="00763961"/>
    <w:rsid w:val="007B01A2"/>
    <w:rsid w:val="00820D5F"/>
    <w:rsid w:val="008969A5"/>
    <w:rsid w:val="008C346A"/>
    <w:rsid w:val="008F3515"/>
    <w:rsid w:val="00900566"/>
    <w:rsid w:val="009258B2"/>
    <w:rsid w:val="009270C3"/>
    <w:rsid w:val="00950DAE"/>
    <w:rsid w:val="009511D1"/>
    <w:rsid w:val="00964135"/>
    <w:rsid w:val="00983A82"/>
    <w:rsid w:val="009A101A"/>
    <w:rsid w:val="009A7C68"/>
    <w:rsid w:val="009D62D9"/>
    <w:rsid w:val="00A075DF"/>
    <w:rsid w:val="00A1628A"/>
    <w:rsid w:val="00A47729"/>
    <w:rsid w:val="00A97F8C"/>
    <w:rsid w:val="00AA7CBA"/>
    <w:rsid w:val="00AB6535"/>
    <w:rsid w:val="00AC44DD"/>
    <w:rsid w:val="00AD197D"/>
    <w:rsid w:val="00AF494D"/>
    <w:rsid w:val="00B323A7"/>
    <w:rsid w:val="00B402C9"/>
    <w:rsid w:val="00B75404"/>
    <w:rsid w:val="00B91D2B"/>
    <w:rsid w:val="00BC75CD"/>
    <w:rsid w:val="00BF1953"/>
    <w:rsid w:val="00C05E83"/>
    <w:rsid w:val="00C41F30"/>
    <w:rsid w:val="00C72FDF"/>
    <w:rsid w:val="00CF3636"/>
    <w:rsid w:val="00D00501"/>
    <w:rsid w:val="00D54ACB"/>
    <w:rsid w:val="00D63B41"/>
    <w:rsid w:val="00D807BF"/>
    <w:rsid w:val="00DA745D"/>
    <w:rsid w:val="00DD6233"/>
    <w:rsid w:val="00DE593B"/>
    <w:rsid w:val="00DF519D"/>
    <w:rsid w:val="00E4428E"/>
    <w:rsid w:val="00E82BDC"/>
    <w:rsid w:val="00F035D9"/>
    <w:rsid w:val="00F14CEB"/>
    <w:rsid w:val="00F302DD"/>
    <w:rsid w:val="00F547CC"/>
    <w:rsid w:val="00F700AD"/>
    <w:rsid w:val="00F95155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6E14C735"/>
  <w15:chartTrackingRefBased/>
  <w15:docId w15:val="{815D3E41-D5D7-4369-9AFA-E15FD44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442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27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27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70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4422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54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3B"/>
  </w:style>
  <w:style w:type="paragraph" w:styleId="Footer">
    <w:name w:val="footer"/>
    <w:basedOn w:val="Normal"/>
    <w:link w:val="FooterChar"/>
    <w:uiPriority w:val="99"/>
    <w:unhideWhenUsed/>
    <w:rsid w:val="00D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22847-C88A-4DCF-AD43-8807C2E140B4}"/>
</file>

<file path=customXml/itemProps2.xml><?xml version="1.0" encoding="utf-8"?>
<ds:datastoreItem xmlns:ds="http://schemas.openxmlformats.org/officeDocument/2006/customXml" ds:itemID="{FE19F2BB-7A5D-42EC-9EC7-C7F0DDE3C147}"/>
</file>

<file path=customXml/itemProps3.xml><?xml version="1.0" encoding="utf-8"?>
<ds:datastoreItem xmlns:ds="http://schemas.openxmlformats.org/officeDocument/2006/customXml" ds:itemID="{F4537530-2B99-4B55-B7A2-73E337AF6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4297</Characters>
  <Application>Microsoft Office Word</Application>
  <DocSecurity>0</DocSecurity>
  <Lines>138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smiles</dc:creator>
  <cp:keywords/>
  <cp:lastModifiedBy>Anissa Sharratt</cp:lastModifiedBy>
  <cp:revision>2</cp:revision>
  <dcterms:created xsi:type="dcterms:W3CDTF">2018-02-05T20:47:00Z</dcterms:created>
  <dcterms:modified xsi:type="dcterms:W3CDTF">2018-02-05T20:47:00Z</dcterms:modified>
</cp:coreProperties>
</file>